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28468" w14:textId="77777777" w:rsidR="000E73E2" w:rsidRDefault="00AD3601">
      <w:pPr>
        <w:snapToGrid w:val="0"/>
        <w:spacing w:line="360" w:lineRule="auto"/>
        <w:jc w:val="center"/>
      </w:pPr>
      <w:bookmarkStart w:id="0" w:name="_GoBack"/>
      <w:bookmarkEnd w:id="0"/>
      <w:r>
        <w:rPr>
          <w:rFonts w:eastAsia="標楷體"/>
          <w:sz w:val="32"/>
          <w:szCs w:val="28"/>
        </w:rPr>
        <w:t>2021</w:t>
      </w:r>
      <w:r>
        <w:rPr>
          <w:rFonts w:eastAsia="標楷體"/>
          <w:sz w:val="32"/>
          <w:szCs w:val="28"/>
        </w:rPr>
        <w:t>校慶系列活動</w:t>
      </w:r>
      <w:proofErr w:type="gramStart"/>
      <w:r>
        <w:rPr>
          <w:rFonts w:eastAsia="標楷體"/>
          <w:sz w:val="32"/>
          <w:szCs w:val="28"/>
        </w:rPr>
        <w:t>—</w:t>
      </w:r>
      <w:proofErr w:type="gramEnd"/>
      <w:r>
        <w:rPr>
          <w:rFonts w:eastAsia="標楷體"/>
          <w:sz w:val="32"/>
          <w:szCs w:val="28"/>
        </w:rPr>
        <w:t>東華</w:t>
      </w:r>
      <w:proofErr w:type="gramStart"/>
      <w:r>
        <w:rPr>
          <w:rFonts w:eastAsia="標楷體"/>
          <w:sz w:val="32"/>
          <w:szCs w:val="28"/>
        </w:rPr>
        <w:t>盃</w:t>
      </w:r>
      <w:proofErr w:type="gramEnd"/>
      <w:r>
        <w:rPr>
          <w:rFonts w:eastAsia="標楷體"/>
          <w:color w:val="000000"/>
          <w:sz w:val="32"/>
          <w:szCs w:val="28"/>
        </w:rPr>
        <w:t>舞蹈</w:t>
      </w:r>
      <w:r>
        <w:rPr>
          <w:rFonts w:eastAsia="標楷體"/>
          <w:sz w:val="32"/>
          <w:szCs w:val="28"/>
        </w:rPr>
        <w:t>比賽</w:t>
      </w:r>
    </w:p>
    <w:p w14:paraId="61FE7082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2053" w:hanging="2053"/>
      </w:pPr>
      <w:r>
        <w:rPr>
          <w:rFonts w:eastAsia="標楷體"/>
        </w:rPr>
        <w:t>宗</w:t>
      </w:r>
      <w:r>
        <w:rPr>
          <w:rFonts w:eastAsia="標楷體"/>
        </w:rPr>
        <w:t xml:space="preserve">    </w:t>
      </w:r>
      <w:r>
        <w:rPr>
          <w:rFonts w:eastAsia="標楷體"/>
        </w:rPr>
        <w:t>旨：增進本校教職員生眷屬互動，提昇情感交流，提倡校園</w:t>
      </w:r>
      <w:r>
        <w:rPr>
          <w:rFonts w:eastAsia="標楷體"/>
          <w:color w:val="000000"/>
        </w:rPr>
        <w:t>舞蹈運動風氣，培養團隊精神，特舉辦本活動</w:t>
      </w:r>
    </w:p>
    <w:p w14:paraId="792F0630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</w:rPr>
      </w:pPr>
      <w:r>
        <w:rPr>
          <w:rFonts w:eastAsia="標楷體"/>
        </w:rPr>
        <w:t>主辦單位：國立東華大學校慶籌備會</w:t>
      </w:r>
    </w:p>
    <w:p w14:paraId="1C0D4CE9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</w:rPr>
      </w:pPr>
      <w:r>
        <w:rPr>
          <w:rFonts w:eastAsia="標楷體"/>
        </w:rPr>
        <w:t>承辦單位：國立東華大學共同教育委員會體育中心</w:t>
      </w:r>
    </w:p>
    <w:p w14:paraId="454C48A8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</w:rPr>
      </w:pPr>
      <w:r>
        <w:rPr>
          <w:rFonts w:eastAsia="標楷體"/>
        </w:rPr>
        <w:t>協辦單位：東華大學熱舞社</w:t>
      </w:r>
    </w:p>
    <w:p w14:paraId="1A8C2FD9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</w:pPr>
      <w:r>
        <w:rPr>
          <w:rFonts w:eastAsia="標楷體"/>
        </w:rPr>
        <w:t>比賽日期：</w:t>
      </w:r>
      <w:r>
        <w:rPr>
          <w:rFonts w:eastAsia="標楷體"/>
          <w:b/>
          <w:color w:val="000000"/>
        </w:rPr>
        <w:t>110</w:t>
      </w:r>
      <w:r>
        <w:rPr>
          <w:rFonts w:eastAsia="標楷體"/>
          <w:b/>
          <w:color w:val="000000"/>
        </w:rPr>
        <w:t>年</w:t>
      </w:r>
      <w:r>
        <w:rPr>
          <w:rFonts w:eastAsia="標楷體"/>
          <w:b/>
          <w:color w:val="000000"/>
        </w:rPr>
        <w:t>11</w:t>
      </w:r>
      <w:r>
        <w:rPr>
          <w:rFonts w:eastAsia="標楷體"/>
          <w:b/>
          <w:color w:val="000000"/>
        </w:rPr>
        <w:t>月</w:t>
      </w:r>
      <w:r>
        <w:rPr>
          <w:rFonts w:eastAsia="標楷體"/>
          <w:b/>
          <w:color w:val="000000"/>
        </w:rPr>
        <w:t>27</w:t>
      </w:r>
      <w:r>
        <w:rPr>
          <w:rFonts w:eastAsia="標楷體"/>
          <w:b/>
          <w:color w:val="000000"/>
        </w:rPr>
        <w:t>日</w:t>
      </w:r>
      <w:r>
        <w:rPr>
          <w:rFonts w:eastAsia="標楷體"/>
          <w:b/>
          <w:color w:val="000000"/>
        </w:rPr>
        <w:t>(</w:t>
      </w:r>
      <w:r>
        <w:rPr>
          <w:rFonts w:eastAsia="標楷體"/>
          <w:b/>
          <w:color w:val="000000"/>
        </w:rPr>
        <w:t>星期六</w:t>
      </w:r>
      <w:r>
        <w:rPr>
          <w:rFonts w:eastAsia="標楷體"/>
          <w:b/>
          <w:color w:val="000000"/>
        </w:rPr>
        <w:t xml:space="preserve">) </w:t>
      </w:r>
      <w:r>
        <w:rPr>
          <w:rFonts w:eastAsia="標楷體"/>
          <w:b/>
          <w:color w:val="000000"/>
        </w:rPr>
        <w:t>下午兩點到五點</w:t>
      </w:r>
    </w:p>
    <w:p w14:paraId="0F145101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</w:pPr>
      <w:r>
        <w:rPr>
          <w:rFonts w:eastAsia="標楷體"/>
        </w:rPr>
        <w:t>比賽地點：</w:t>
      </w:r>
      <w:r w:rsidRPr="00D133BC">
        <w:rPr>
          <w:rFonts w:eastAsia="標楷體"/>
          <w:b/>
          <w:bCs/>
          <w:color w:val="FF0000"/>
        </w:rPr>
        <w:t>國立東華大學學生活動中心川堂</w:t>
      </w:r>
    </w:p>
    <w:p w14:paraId="19745D8C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</w:pPr>
      <w:r>
        <w:rPr>
          <w:rFonts w:eastAsia="標楷體"/>
        </w:rPr>
        <w:t>報名資格：國立東華大學</w:t>
      </w:r>
      <w:r>
        <w:rPr>
          <w:rFonts w:eastAsia="標楷體"/>
          <w:color w:val="000000"/>
        </w:rPr>
        <w:t>教職員工、學生</w:t>
      </w:r>
    </w:p>
    <w:p w14:paraId="20357098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</w:pPr>
      <w:r>
        <w:rPr>
          <w:rFonts w:eastAsia="標楷體"/>
        </w:rPr>
        <w:t>比賽組別：</w:t>
      </w:r>
      <w:r>
        <w:rPr>
          <w:rFonts w:eastAsia="標楷體"/>
          <w:color w:val="000000"/>
        </w:rPr>
        <w:t>不分組</w:t>
      </w:r>
    </w:p>
    <w:p w14:paraId="3D2D3B8E" w14:textId="2B3D7A96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</w:pPr>
      <w:r>
        <w:rPr>
          <w:rFonts w:eastAsia="標楷體"/>
        </w:rPr>
        <w:t>報名日期：即日起至</w:t>
      </w:r>
      <w:r w:rsidRPr="00D133BC">
        <w:rPr>
          <w:rFonts w:eastAsia="標楷體"/>
          <w:b/>
          <w:bCs/>
          <w:color w:val="FF0000"/>
        </w:rPr>
        <w:t>110</w:t>
      </w:r>
      <w:r w:rsidRPr="00D133BC">
        <w:rPr>
          <w:rFonts w:eastAsia="標楷體"/>
          <w:b/>
          <w:bCs/>
          <w:color w:val="FF0000"/>
        </w:rPr>
        <w:t>年</w:t>
      </w:r>
      <w:r w:rsidRPr="00D133BC">
        <w:rPr>
          <w:rFonts w:eastAsia="標楷體"/>
          <w:b/>
          <w:bCs/>
          <w:color w:val="FF0000"/>
        </w:rPr>
        <w:t>11</w:t>
      </w:r>
      <w:r w:rsidRPr="00D133BC">
        <w:rPr>
          <w:rFonts w:eastAsia="標楷體"/>
          <w:b/>
          <w:bCs/>
          <w:color w:val="FF0000"/>
        </w:rPr>
        <w:t>月</w:t>
      </w:r>
      <w:r w:rsidRPr="00D133BC">
        <w:rPr>
          <w:rFonts w:eastAsia="標楷體" w:hint="eastAsia"/>
          <w:b/>
          <w:bCs/>
          <w:color w:val="FF0000"/>
        </w:rPr>
        <w:t>1</w:t>
      </w:r>
      <w:r w:rsidRPr="00D133BC">
        <w:rPr>
          <w:rFonts w:eastAsia="標楷體"/>
          <w:b/>
          <w:bCs/>
          <w:color w:val="FF0000"/>
        </w:rPr>
        <w:t>2</w:t>
      </w:r>
      <w:r w:rsidRPr="00D133BC">
        <w:rPr>
          <w:rFonts w:eastAsia="標楷體"/>
          <w:b/>
          <w:bCs/>
          <w:color w:val="FF0000"/>
        </w:rPr>
        <w:t>日</w:t>
      </w:r>
      <w:r w:rsidRPr="00D133BC">
        <w:rPr>
          <w:rFonts w:eastAsia="標楷體"/>
          <w:b/>
          <w:bCs/>
          <w:color w:val="FF0000"/>
        </w:rPr>
        <w:t>24</w:t>
      </w:r>
      <w:r w:rsidRPr="00D133BC">
        <w:rPr>
          <w:rFonts w:eastAsia="標楷體"/>
          <w:b/>
          <w:bCs/>
          <w:color w:val="FF0000"/>
        </w:rPr>
        <w:t>時止</w:t>
      </w:r>
      <w:r w:rsidRPr="00D133BC">
        <w:rPr>
          <w:rFonts w:eastAsia="標楷體" w:hint="eastAsia"/>
          <w:b/>
          <w:bCs/>
          <w:color w:val="FF0000"/>
        </w:rPr>
        <w:t>(</w:t>
      </w:r>
      <w:r w:rsidRPr="00D133BC">
        <w:rPr>
          <w:rFonts w:eastAsia="標楷體" w:hint="eastAsia"/>
          <w:b/>
          <w:bCs/>
          <w:color w:val="FF0000"/>
        </w:rPr>
        <w:t>可於領隊會議報名</w:t>
      </w:r>
      <w:r w:rsidRPr="00D133BC">
        <w:rPr>
          <w:rFonts w:eastAsia="標楷體" w:hint="eastAsia"/>
          <w:b/>
          <w:bCs/>
          <w:color w:val="FF0000"/>
        </w:rPr>
        <w:t>)</w:t>
      </w:r>
    </w:p>
    <w:p w14:paraId="2AB1F173" w14:textId="2F0D83B8" w:rsidR="00AD3601" w:rsidRPr="00DC2E4C" w:rsidRDefault="00AD3601" w:rsidP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color w:val="FF0000"/>
        </w:rPr>
      </w:pPr>
      <w:r>
        <w:rPr>
          <w:rFonts w:eastAsia="標楷體"/>
        </w:rPr>
        <w:t>報</w:t>
      </w:r>
      <w:r>
        <w:rPr>
          <w:rFonts w:eastAsia="標楷體"/>
        </w:rPr>
        <w:t xml:space="preserve"> </w:t>
      </w:r>
      <w:r>
        <w:rPr>
          <w:rFonts w:eastAsia="標楷體"/>
        </w:rPr>
        <w:t>名</w:t>
      </w:r>
      <w:r>
        <w:rPr>
          <w:rFonts w:eastAsia="標楷體"/>
        </w:rPr>
        <w:t xml:space="preserve"> </w:t>
      </w:r>
      <w:r>
        <w:rPr>
          <w:rFonts w:eastAsia="標楷體"/>
        </w:rPr>
        <w:t>費：</w:t>
      </w:r>
      <w:r w:rsidRPr="00DC2E4C">
        <w:rPr>
          <w:rFonts w:eastAsia="標楷體"/>
          <w:b/>
          <w:color w:val="FF0000"/>
        </w:rPr>
        <w:t>一組</w:t>
      </w:r>
      <w:r w:rsidRPr="00DC2E4C">
        <w:rPr>
          <w:rFonts w:eastAsia="標楷體"/>
          <w:b/>
          <w:color w:val="FF0000"/>
        </w:rPr>
        <w:t>200</w:t>
      </w:r>
      <w:r w:rsidRPr="00DC2E4C">
        <w:rPr>
          <w:rFonts w:eastAsia="標楷體"/>
          <w:b/>
          <w:color w:val="FF0000"/>
        </w:rPr>
        <w:t>元</w:t>
      </w:r>
      <w:r w:rsidRPr="00DC2E4C">
        <w:rPr>
          <w:rFonts w:eastAsia="標楷體"/>
          <w:b/>
          <w:color w:val="FF0000"/>
        </w:rPr>
        <w:t xml:space="preserve"> (</w:t>
      </w:r>
      <w:proofErr w:type="gramStart"/>
      <w:r w:rsidRPr="00DC2E4C">
        <w:rPr>
          <w:rFonts w:eastAsia="標楷體" w:hint="eastAsia"/>
          <w:b/>
          <w:color w:val="FF0000"/>
        </w:rPr>
        <w:t>線上報名</w:t>
      </w:r>
      <w:proofErr w:type="gramEnd"/>
      <w:r w:rsidRPr="00DC2E4C">
        <w:rPr>
          <w:rFonts w:eastAsia="標楷體" w:hint="eastAsia"/>
          <w:b/>
          <w:color w:val="FF0000"/>
        </w:rPr>
        <w:t>者</w:t>
      </w:r>
      <w:proofErr w:type="gramStart"/>
      <w:r w:rsidRPr="00DC2E4C">
        <w:rPr>
          <w:rFonts w:eastAsia="標楷體" w:hint="eastAsia"/>
          <w:b/>
          <w:color w:val="FF0000"/>
        </w:rPr>
        <w:t>私訊東</w:t>
      </w:r>
      <w:proofErr w:type="gramEnd"/>
      <w:r w:rsidRPr="00DC2E4C">
        <w:rPr>
          <w:rFonts w:eastAsia="標楷體" w:hint="eastAsia"/>
          <w:b/>
          <w:color w:val="FF0000"/>
        </w:rPr>
        <w:t>華大學熱舞社</w:t>
      </w:r>
      <w:proofErr w:type="spellStart"/>
      <w:r w:rsidRPr="00DC2E4C">
        <w:rPr>
          <w:rFonts w:eastAsia="標楷體" w:hint="eastAsia"/>
          <w:b/>
          <w:color w:val="FF0000"/>
        </w:rPr>
        <w:t>ig</w:t>
      </w:r>
      <w:proofErr w:type="spellEnd"/>
      <w:r w:rsidRPr="00DC2E4C">
        <w:rPr>
          <w:rFonts w:eastAsia="標楷體" w:hint="eastAsia"/>
          <w:b/>
          <w:color w:val="FF0000"/>
        </w:rPr>
        <w:t>/fb</w:t>
      </w:r>
      <w:r w:rsidRPr="00DC2E4C">
        <w:rPr>
          <w:rFonts w:eastAsia="標楷體" w:hint="eastAsia"/>
          <w:b/>
          <w:color w:val="FF0000"/>
        </w:rPr>
        <w:t>轉帳繳費</w:t>
      </w:r>
      <w:r w:rsidRPr="00DC2E4C">
        <w:rPr>
          <w:rFonts w:eastAsia="標楷體" w:hint="eastAsia"/>
          <w:b/>
          <w:color w:val="FF0000"/>
        </w:rPr>
        <w:t>)</w:t>
      </w:r>
    </w:p>
    <w:p w14:paraId="40329EB3" w14:textId="661ABC2D" w:rsidR="000E73E2" w:rsidRPr="00DC2E4C" w:rsidRDefault="00AD3601" w:rsidP="00AD3601">
      <w:pPr>
        <w:tabs>
          <w:tab w:val="left" w:pos="851"/>
          <w:tab w:val="left" w:pos="1560"/>
        </w:tabs>
        <w:snapToGrid w:val="0"/>
        <w:spacing w:line="360" w:lineRule="auto"/>
        <w:ind w:left="1418" w:firstLineChars="200" w:firstLine="480"/>
        <w:rPr>
          <w:color w:val="FF0000"/>
        </w:rPr>
      </w:pPr>
      <w:r w:rsidRPr="00DC2E4C">
        <w:rPr>
          <w:rFonts w:eastAsia="標楷體"/>
          <w:b/>
          <w:color w:val="FF0000"/>
        </w:rPr>
        <w:t>一組</w:t>
      </w:r>
      <w:r w:rsidRPr="00DC2E4C">
        <w:rPr>
          <w:rFonts w:eastAsia="標楷體"/>
          <w:b/>
          <w:color w:val="FF0000"/>
        </w:rPr>
        <w:t xml:space="preserve"> 250 (</w:t>
      </w:r>
      <w:r w:rsidRPr="00DC2E4C">
        <w:rPr>
          <w:rFonts w:eastAsia="標楷體"/>
          <w:b/>
          <w:color w:val="FF0000"/>
        </w:rPr>
        <w:t>現場報名者</w:t>
      </w:r>
      <w:r w:rsidRPr="00DC2E4C">
        <w:rPr>
          <w:rFonts w:eastAsia="標楷體"/>
          <w:b/>
          <w:color w:val="FF0000"/>
        </w:rPr>
        <w:t>)</w:t>
      </w:r>
    </w:p>
    <w:p w14:paraId="70FF121D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</w:rPr>
      </w:pPr>
      <w:r>
        <w:rPr>
          <w:rFonts w:eastAsia="標楷體"/>
        </w:rPr>
        <w:t>報名方式：一組兩個人</w:t>
      </w:r>
      <w:r>
        <w:rPr>
          <w:rFonts w:eastAsia="標楷體"/>
        </w:rPr>
        <w:t>(</w:t>
      </w:r>
      <w:r>
        <w:rPr>
          <w:rFonts w:eastAsia="標楷體"/>
        </w:rPr>
        <w:t>自行組隊</w:t>
      </w:r>
      <w:r>
        <w:rPr>
          <w:rFonts w:eastAsia="標楷體"/>
        </w:rPr>
        <w:t>)</w:t>
      </w:r>
    </w:p>
    <w:p w14:paraId="0466E19E" w14:textId="77777777" w:rsidR="000E73E2" w:rsidRDefault="00AD3601">
      <w:pPr>
        <w:numPr>
          <w:ilvl w:val="0"/>
          <w:numId w:val="7"/>
        </w:numPr>
        <w:snapToGrid w:val="0"/>
        <w:spacing w:line="360" w:lineRule="auto"/>
        <w:ind w:left="1134" w:hanging="594"/>
        <w:rPr>
          <w:rFonts w:eastAsia="標楷體"/>
        </w:rPr>
      </w:pPr>
      <w:proofErr w:type="gramStart"/>
      <w:r>
        <w:rPr>
          <w:rFonts w:eastAsia="標楷體"/>
        </w:rPr>
        <w:t>採線上</w:t>
      </w:r>
      <w:proofErr w:type="gramEnd"/>
      <w:r>
        <w:rPr>
          <w:rFonts w:eastAsia="標楷體"/>
        </w:rPr>
        <w:t>報名</w:t>
      </w:r>
      <w:r>
        <w:rPr>
          <w:rFonts w:eastAsia="標楷體"/>
        </w:rPr>
        <w:t xml:space="preserve"> https://forms.gle/eKqzCC3sXaTJjkcA6</w:t>
      </w:r>
    </w:p>
    <w:p w14:paraId="79EA2045" w14:textId="77777777" w:rsidR="000E73E2" w:rsidRDefault="00AD3601">
      <w:pPr>
        <w:numPr>
          <w:ilvl w:val="0"/>
          <w:numId w:val="7"/>
        </w:numPr>
        <w:snapToGrid w:val="0"/>
        <w:spacing w:line="360" w:lineRule="auto"/>
        <w:ind w:left="1134" w:hanging="594"/>
        <w:rPr>
          <w:rFonts w:eastAsia="標楷體"/>
        </w:rPr>
      </w:pPr>
      <w:r>
        <w:rPr>
          <w:rFonts w:eastAsia="標楷體"/>
        </w:rPr>
        <w:t>現場報名</w:t>
      </w:r>
    </w:p>
    <w:p w14:paraId="25E4E7E9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  <w:color w:val="000000"/>
        </w:rPr>
      </w:pPr>
      <w:r>
        <w:rPr>
          <w:rFonts w:eastAsia="標楷體"/>
          <w:color w:val="000000"/>
        </w:rPr>
        <w:t>比賽制度：</w:t>
      </w:r>
      <w:r>
        <w:rPr>
          <w:rFonts w:eastAsia="標楷體"/>
          <w:color w:val="000000"/>
        </w:rPr>
        <w:t>2 on 2 BATTLE (2</w:t>
      </w:r>
      <w:r>
        <w:rPr>
          <w:rFonts w:eastAsia="標楷體"/>
          <w:color w:val="000000"/>
        </w:rPr>
        <w:t>對</w:t>
      </w:r>
      <w:r>
        <w:rPr>
          <w:rFonts w:eastAsia="標楷體"/>
          <w:color w:val="000000"/>
        </w:rPr>
        <w:t>2</w:t>
      </w:r>
      <w:r>
        <w:rPr>
          <w:rFonts w:eastAsia="標楷體"/>
          <w:color w:val="000000"/>
        </w:rPr>
        <w:t>競舞</w:t>
      </w:r>
      <w:r>
        <w:rPr>
          <w:rFonts w:eastAsia="標楷體"/>
          <w:color w:val="000000"/>
        </w:rPr>
        <w:t>)</w:t>
      </w:r>
    </w:p>
    <w:p w14:paraId="59A19E66" w14:textId="77777777" w:rsidR="000E73E2" w:rsidRDefault="00AD3601">
      <w:pPr>
        <w:pStyle w:val="af2"/>
        <w:numPr>
          <w:ilvl w:val="0"/>
          <w:numId w:val="8"/>
        </w:numPr>
        <w:snapToGrid w:val="0"/>
        <w:spacing w:line="360" w:lineRule="auto"/>
        <w:rPr>
          <w:rFonts w:eastAsia="標楷體"/>
        </w:rPr>
      </w:pPr>
      <w:proofErr w:type="gramStart"/>
      <w:r>
        <w:rPr>
          <w:rFonts w:eastAsia="標楷體"/>
        </w:rPr>
        <w:t>不分舞種</w:t>
      </w:r>
      <w:proofErr w:type="gramEnd"/>
      <w:r>
        <w:rPr>
          <w:rFonts w:eastAsia="標楷體"/>
        </w:rPr>
        <w:t>，舞風</w:t>
      </w:r>
    </w:p>
    <w:p w14:paraId="28469735" w14:textId="77777777" w:rsidR="000E73E2" w:rsidRDefault="00AD3601">
      <w:pPr>
        <w:pStyle w:val="af2"/>
        <w:numPr>
          <w:ilvl w:val="0"/>
          <w:numId w:val="8"/>
        </w:numPr>
        <w:tabs>
          <w:tab w:val="left" w:pos="1560"/>
        </w:tabs>
        <w:snapToGrid w:val="0"/>
        <w:spacing w:line="360" w:lineRule="auto"/>
      </w:pPr>
      <w:r>
        <w:rPr>
          <w:rFonts w:eastAsia="標楷體"/>
          <w:sz w:val="28"/>
          <w:szCs w:val="28"/>
        </w:rPr>
        <w:t>階段</w:t>
      </w:r>
      <w:proofErr w:type="gramStart"/>
      <w:r>
        <w:rPr>
          <w:rFonts w:eastAsia="標楷體"/>
          <w:sz w:val="28"/>
          <w:szCs w:val="28"/>
        </w:rPr>
        <w:t>一</w:t>
      </w:r>
      <w:proofErr w:type="gramEnd"/>
      <w:r>
        <w:rPr>
          <w:rFonts w:eastAsia="標楷體"/>
          <w:sz w:val="28"/>
          <w:szCs w:val="28"/>
        </w:rPr>
        <w:t>: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  <w:sz w:val="28"/>
          <w:szCs w:val="28"/>
        </w:rPr>
        <w:t>海選階段</w:t>
      </w:r>
      <w:proofErr w:type="gramEnd"/>
    </w:p>
    <w:p w14:paraId="3723922A" w14:textId="77777777" w:rsidR="000E73E2" w:rsidRDefault="00AD3601">
      <w:pPr>
        <w:tabs>
          <w:tab w:val="left" w:pos="1560"/>
        </w:tabs>
        <w:snapToGrid w:val="0"/>
        <w:spacing w:line="360" w:lineRule="auto"/>
        <w:ind w:left="566"/>
      </w:pPr>
      <w:r>
        <w:rPr>
          <w:rFonts w:eastAsia="標楷體"/>
        </w:rPr>
        <w:t>(</w:t>
      </w:r>
      <w:proofErr w:type="gramStart"/>
      <w:r>
        <w:rPr>
          <w:rFonts w:eastAsia="標楷體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/>
        </w:rPr>
        <w:t>賽事音樂由</w:t>
      </w:r>
      <w:r>
        <w:rPr>
          <w:rFonts w:eastAsia="標楷體"/>
        </w:rPr>
        <w:t>DJ</w:t>
      </w:r>
      <w:r>
        <w:rPr>
          <w:rFonts w:eastAsia="標楷體"/>
        </w:rPr>
        <w:t>隨機播放，每組隊伍依序有</w:t>
      </w:r>
      <w:r>
        <w:rPr>
          <w:rFonts w:eastAsia="標楷體"/>
          <w:b/>
          <w:bCs/>
        </w:rPr>
        <w:t>1</w:t>
      </w:r>
      <w:r>
        <w:rPr>
          <w:rFonts w:eastAsia="標楷體"/>
          <w:b/>
          <w:bCs/>
        </w:rPr>
        <w:t>分鐘</w:t>
      </w:r>
      <w:r>
        <w:rPr>
          <w:rFonts w:eastAsia="標楷體"/>
        </w:rPr>
        <w:t>的時間，輪流</w:t>
      </w:r>
      <w:r>
        <w:rPr>
          <w:rFonts w:eastAsia="標楷體"/>
        </w:rPr>
        <w:t>solo</w:t>
      </w:r>
      <w:r>
        <w:rPr>
          <w:rStyle w:val="af9"/>
          <w:rFonts w:eastAsia="標楷體"/>
        </w:rPr>
        <w:footnoteReference w:id="1"/>
      </w:r>
      <w:r>
        <w:rPr>
          <w:rFonts w:eastAsia="標楷體"/>
        </w:rPr>
        <w:t>或是排舞</w:t>
      </w:r>
      <w:r>
        <w:rPr>
          <w:rStyle w:val="af9"/>
          <w:rFonts w:eastAsia="標楷體"/>
        </w:rPr>
        <w:footnoteReference w:id="2"/>
      </w:r>
      <w:r>
        <w:rPr>
          <w:rFonts w:eastAsia="標楷體"/>
        </w:rPr>
        <w:t xml:space="preserve">+solo </w:t>
      </w:r>
      <w:r>
        <w:rPr>
          <w:rFonts w:eastAsia="標楷體"/>
        </w:rPr>
        <w:t>自行安排。</w:t>
      </w:r>
    </w:p>
    <w:p w14:paraId="6AAB1ACA" w14:textId="77777777" w:rsidR="000E73E2" w:rsidRDefault="00AD3601">
      <w:pPr>
        <w:snapToGrid w:val="0"/>
        <w:spacing w:line="360" w:lineRule="auto"/>
        <w:ind w:left="566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/>
        </w:rPr>
        <w:t>二</w:t>
      </w:r>
      <w:r>
        <w:rPr>
          <w:rFonts w:eastAsia="標楷體"/>
        </w:rPr>
        <w:t xml:space="preserve">) </w:t>
      </w:r>
      <w:proofErr w:type="gramStart"/>
      <w:r>
        <w:rPr>
          <w:rFonts w:eastAsia="標楷體"/>
        </w:rPr>
        <w:t>海選將</w:t>
      </w:r>
      <w:proofErr w:type="gramEnd"/>
      <w:r>
        <w:rPr>
          <w:rFonts w:eastAsia="標楷體"/>
        </w:rPr>
        <w:t>選出</w:t>
      </w:r>
      <w:r>
        <w:rPr>
          <w:rFonts w:eastAsia="標楷體"/>
        </w:rPr>
        <w:t>8</w:t>
      </w:r>
      <w:r>
        <w:rPr>
          <w:rFonts w:eastAsia="標楷體"/>
        </w:rPr>
        <w:t>組隊伍進入</w:t>
      </w:r>
      <w:r>
        <w:rPr>
          <w:rFonts w:eastAsia="標楷體"/>
        </w:rPr>
        <w:t>BATTLE</w:t>
      </w:r>
      <w:r>
        <w:rPr>
          <w:rFonts w:eastAsia="標楷體"/>
        </w:rPr>
        <w:t>階段。</w:t>
      </w:r>
    </w:p>
    <w:p w14:paraId="412FA6CD" w14:textId="77777777" w:rsidR="000E73E2" w:rsidRDefault="00AD3601">
      <w:pPr>
        <w:pStyle w:val="af2"/>
        <w:numPr>
          <w:ilvl w:val="0"/>
          <w:numId w:val="9"/>
        </w:numPr>
        <w:tabs>
          <w:tab w:val="left" w:pos="1560"/>
        </w:tabs>
        <w:snapToGrid w:val="0"/>
        <w:spacing w:line="360" w:lineRule="auto"/>
      </w:pPr>
      <w:r>
        <w:rPr>
          <w:rFonts w:eastAsia="標楷體"/>
          <w:sz w:val="28"/>
          <w:szCs w:val="28"/>
        </w:rPr>
        <w:t>階段二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</w:rPr>
        <w:t xml:space="preserve"> </w:t>
      </w:r>
      <w:r>
        <w:rPr>
          <w:rFonts w:eastAsia="標楷體"/>
          <w:sz w:val="28"/>
          <w:szCs w:val="28"/>
        </w:rPr>
        <w:t>BATTLE</w:t>
      </w:r>
    </w:p>
    <w:p w14:paraId="5C1EE422" w14:textId="77777777" w:rsidR="000E73E2" w:rsidRDefault="00AD3601">
      <w:pPr>
        <w:pStyle w:val="af2"/>
        <w:numPr>
          <w:ilvl w:val="0"/>
          <w:numId w:val="10"/>
        </w:numPr>
        <w:snapToGrid w:val="0"/>
        <w:spacing w:line="360" w:lineRule="auto"/>
        <w:ind w:left="566" w:firstLine="1"/>
      </w:pPr>
      <w:r>
        <w:rPr>
          <w:rFonts w:eastAsia="標楷體"/>
        </w:rPr>
        <w:t>每輪對戰中，雙方選手輪流進行計時</w:t>
      </w:r>
      <w:r>
        <w:rPr>
          <w:rFonts w:eastAsia="標楷體"/>
          <w:b/>
          <w:bCs/>
        </w:rPr>
        <w:t>45</w:t>
      </w:r>
      <w:r>
        <w:rPr>
          <w:rFonts w:eastAsia="標楷體"/>
          <w:b/>
          <w:bCs/>
        </w:rPr>
        <w:t>秒</w:t>
      </w:r>
      <w:r>
        <w:rPr>
          <w:rFonts w:eastAsia="標楷體"/>
        </w:rPr>
        <w:t>（</w:t>
      </w:r>
      <w:r>
        <w:rPr>
          <w:rFonts w:eastAsia="標楷體"/>
        </w:rPr>
        <w:t>Solo</w:t>
      </w:r>
      <w:r>
        <w:rPr>
          <w:rFonts w:eastAsia="標楷體"/>
        </w:rPr>
        <w:t>及排舞可任意安排），由五位評審判定，勝者晉級。</w:t>
      </w:r>
    </w:p>
    <w:p w14:paraId="2822C824" w14:textId="77777777" w:rsidR="000E73E2" w:rsidRDefault="00AD3601">
      <w:pPr>
        <w:pStyle w:val="af2"/>
        <w:numPr>
          <w:ilvl w:val="0"/>
          <w:numId w:val="10"/>
        </w:numPr>
        <w:snapToGrid w:val="0"/>
        <w:spacing w:line="360" w:lineRule="auto"/>
        <w:ind w:left="566" w:firstLine="1"/>
        <w:rPr>
          <w:rFonts w:eastAsia="標楷體"/>
        </w:rPr>
      </w:pPr>
      <w:r>
        <w:rPr>
          <w:rFonts w:eastAsia="標楷體"/>
        </w:rPr>
        <w:t>比賽中如遇到平手時，下一輪之先後順序將對調。最多平手</w:t>
      </w:r>
      <w:r>
        <w:rPr>
          <w:rFonts w:eastAsia="標楷體"/>
        </w:rPr>
        <w:t>2</w:t>
      </w:r>
      <w:r>
        <w:rPr>
          <w:rFonts w:eastAsia="標楷體"/>
        </w:rPr>
        <w:t>次，評審需商討出晉級者。</w:t>
      </w:r>
    </w:p>
    <w:p w14:paraId="5964D41C" w14:textId="77777777" w:rsidR="000E73E2" w:rsidRDefault="00AD3601">
      <w:pPr>
        <w:pStyle w:val="af2"/>
        <w:numPr>
          <w:ilvl w:val="0"/>
          <w:numId w:val="9"/>
        </w:numPr>
        <w:snapToGrid w:val="0"/>
        <w:spacing w:line="360" w:lineRule="auto"/>
      </w:pPr>
      <w:r>
        <w:rPr>
          <w:rFonts w:eastAsia="標楷體"/>
          <w:sz w:val="28"/>
          <w:szCs w:val="28"/>
        </w:rPr>
        <w:t>階段三</w:t>
      </w:r>
      <w:r>
        <w:rPr>
          <w:rFonts w:eastAsia="標楷體"/>
          <w:sz w:val="28"/>
          <w:szCs w:val="28"/>
        </w:rPr>
        <w:t>:</w:t>
      </w:r>
      <w:r>
        <w:rPr>
          <w:rFonts w:eastAsia="標楷體"/>
        </w:rPr>
        <w:t xml:space="preserve"> </w:t>
      </w:r>
      <w:proofErr w:type="gramStart"/>
      <w:r>
        <w:rPr>
          <w:rFonts w:eastAsia="標楷體"/>
          <w:sz w:val="28"/>
          <w:szCs w:val="28"/>
        </w:rPr>
        <w:t>冠亞賽</w:t>
      </w:r>
      <w:proofErr w:type="gramEnd"/>
    </w:p>
    <w:p w14:paraId="0C2A1782" w14:textId="77777777" w:rsidR="000E73E2" w:rsidRDefault="00AD3601">
      <w:pPr>
        <w:snapToGrid w:val="0"/>
        <w:spacing w:line="360" w:lineRule="auto"/>
        <w:ind w:left="566"/>
      </w:pPr>
      <w:r>
        <w:rPr>
          <w:rFonts w:eastAsia="標楷體"/>
        </w:rPr>
        <w:lastRenderedPageBreak/>
        <w:t>每輪對戰中，雙方選手輪流進行計時</w:t>
      </w:r>
      <w:r>
        <w:rPr>
          <w:rFonts w:eastAsia="標楷體"/>
          <w:b/>
          <w:bCs/>
        </w:rPr>
        <w:t>60</w:t>
      </w:r>
      <w:r>
        <w:rPr>
          <w:rFonts w:eastAsia="標楷體"/>
          <w:b/>
          <w:bCs/>
        </w:rPr>
        <w:t>秒</w:t>
      </w:r>
      <w:r>
        <w:rPr>
          <w:rFonts w:eastAsia="標楷體"/>
        </w:rPr>
        <w:t>（</w:t>
      </w:r>
      <w:r>
        <w:rPr>
          <w:rFonts w:eastAsia="標楷體"/>
        </w:rPr>
        <w:t>Solo</w:t>
      </w:r>
      <w:r>
        <w:rPr>
          <w:rFonts w:eastAsia="標楷體"/>
        </w:rPr>
        <w:t>及排舞可任意安排），由五位評審判定，選出冠軍。最多平手</w:t>
      </w:r>
      <w:r>
        <w:rPr>
          <w:rFonts w:eastAsia="標楷體"/>
        </w:rPr>
        <w:t>2</w:t>
      </w:r>
      <w:r>
        <w:rPr>
          <w:rFonts w:eastAsia="標楷體"/>
        </w:rPr>
        <w:t>次，評審需商討出冠軍。</w:t>
      </w:r>
    </w:p>
    <w:p w14:paraId="45D487D4" w14:textId="77777777" w:rsidR="000E73E2" w:rsidRDefault="00AD3601">
      <w:pPr>
        <w:pStyle w:val="af2"/>
        <w:numPr>
          <w:ilvl w:val="0"/>
          <w:numId w:val="9"/>
        </w:numPr>
        <w:tabs>
          <w:tab w:val="left" w:pos="1560"/>
        </w:tabs>
        <w:snapToGrid w:val="0"/>
        <w:spacing w:line="360" w:lineRule="auto"/>
        <w:rPr>
          <w:rFonts w:eastAsia="標楷體"/>
          <w:b/>
          <w:bCs/>
        </w:rPr>
      </w:pPr>
      <w:r>
        <w:rPr>
          <w:rFonts w:eastAsia="標楷體"/>
          <w:b/>
          <w:bCs/>
        </w:rPr>
        <w:t>評分標準</w:t>
      </w:r>
    </w:p>
    <w:p w14:paraId="056BB34D" w14:textId="77777777" w:rsidR="000E73E2" w:rsidRDefault="00AD3601">
      <w:pPr>
        <w:tabs>
          <w:tab w:val="left" w:pos="1560"/>
        </w:tabs>
        <w:snapToGrid w:val="0"/>
        <w:spacing w:line="360" w:lineRule="auto"/>
        <w:ind w:left="425"/>
        <w:rPr>
          <w:rFonts w:eastAsia="標楷體"/>
        </w:rPr>
      </w:pPr>
      <w:r>
        <w:rPr>
          <w:rFonts w:eastAsia="標楷體"/>
        </w:rPr>
        <w:t>服裝</w:t>
      </w:r>
      <w:r>
        <w:rPr>
          <w:rFonts w:eastAsia="標楷體"/>
        </w:rPr>
        <w:t>(</w:t>
      </w:r>
      <w:r>
        <w:rPr>
          <w:rFonts w:eastAsia="標楷體"/>
        </w:rPr>
        <w:t>造型</w:t>
      </w:r>
      <w:r>
        <w:rPr>
          <w:rFonts w:eastAsia="標楷體"/>
        </w:rPr>
        <w:t>)10</w:t>
      </w:r>
      <w:r>
        <w:rPr>
          <w:rFonts w:eastAsia="標楷體"/>
        </w:rPr>
        <w:t>％</w:t>
      </w:r>
    </w:p>
    <w:p w14:paraId="0FCA37F0" w14:textId="77777777" w:rsidR="000E73E2" w:rsidRDefault="00AD3601">
      <w:pPr>
        <w:tabs>
          <w:tab w:val="left" w:pos="1560"/>
        </w:tabs>
        <w:snapToGrid w:val="0"/>
        <w:spacing w:line="360" w:lineRule="auto"/>
        <w:ind w:left="425"/>
        <w:rPr>
          <w:rFonts w:eastAsia="標楷體"/>
        </w:rPr>
      </w:pPr>
      <w:r>
        <w:rPr>
          <w:rFonts w:eastAsia="標楷體"/>
        </w:rPr>
        <w:t>舞技</w:t>
      </w:r>
      <w:r>
        <w:rPr>
          <w:rFonts w:eastAsia="標楷體"/>
        </w:rPr>
        <w:t xml:space="preserve"> 30</w:t>
      </w:r>
      <w:r>
        <w:rPr>
          <w:rFonts w:eastAsia="標楷體"/>
        </w:rPr>
        <w:t>％</w:t>
      </w:r>
    </w:p>
    <w:p w14:paraId="5BD0B70C" w14:textId="71439C04" w:rsidR="000E73E2" w:rsidRPr="00DC2E4C" w:rsidRDefault="00AD3601">
      <w:pPr>
        <w:tabs>
          <w:tab w:val="left" w:pos="1560"/>
        </w:tabs>
        <w:snapToGrid w:val="0"/>
        <w:spacing w:line="360" w:lineRule="auto"/>
        <w:ind w:left="425"/>
        <w:rPr>
          <w:rFonts w:eastAsia="標楷體"/>
          <w:color w:val="FF0000"/>
        </w:rPr>
      </w:pPr>
      <w:r w:rsidRPr="00DC2E4C">
        <w:rPr>
          <w:rFonts w:eastAsia="標楷體"/>
          <w:color w:val="FF0000"/>
        </w:rPr>
        <w:t>音樂性</w:t>
      </w:r>
      <w:r w:rsidRPr="00DC2E4C">
        <w:rPr>
          <w:rFonts w:eastAsia="標楷體"/>
          <w:color w:val="FF0000"/>
        </w:rPr>
        <w:t xml:space="preserve"> 30</w:t>
      </w:r>
      <w:r w:rsidRPr="00DC2E4C">
        <w:rPr>
          <w:rFonts w:eastAsia="標楷體"/>
          <w:color w:val="FF0000"/>
        </w:rPr>
        <w:t>％</w:t>
      </w:r>
    </w:p>
    <w:p w14:paraId="710B1E6C" w14:textId="77777777" w:rsidR="000E73E2" w:rsidRDefault="00AD3601">
      <w:pPr>
        <w:tabs>
          <w:tab w:val="left" w:pos="1560"/>
        </w:tabs>
        <w:snapToGrid w:val="0"/>
        <w:spacing w:line="360" w:lineRule="auto"/>
        <w:ind w:left="425"/>
        <w:rPr>
          <w:rFonts w:eastAsia="標楷體"/>
        </w:rPr>
      </w:pPr>
      <w:r>
        <w:rPr>
          <w:rFonts w:eastAsia="標楷體"/>
        </w:rPr>
        <w:t>創意</w:t>
      </w:r>
      <w:r>
        <w:rPr>
          <w:rFonts w:eastAsia="標楷體"/>
        </w:rPr>
        <w:t>(</w:t>
      </w:r>
      <w:r>
        <w:rPr>
          <w:rFonts w:eastAsia="標楷體"/>
        </w:rPr>
        <w:t>編排、主題</w:t>
      </w:r>
      <w:r>
        <w:rPr>
          <w:rFonts w:eastAsia="標楷體"/>
        </w:rPr>
        <w:t>) 30</w:t>
      </w:r>
      <w:r>
        <w:rPr>
          <w:rFonts w:eastAsia="標楷體"/>
        </w:rPr>
        <w:t>％</w:t>
      </w:r>
    </w:p>
    <w:p w14:paraId="7C8A812D" w14:textId="77777777" w:rsidR="00AD3601" w:rsidRPr="00DC2E4C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color w:val="FF0000"/>
        </w:rPr>
      </w:pPr>
      <w:r w:rsidRPr="00DC2E4C">
        <w:rPr>
          <w:rFonts w:eastAsia="標楷體"/>
          <w:color w:val="FF0000"/>
        </w:rPr>
        <w:t>領隊會議</w:t>
      </w:r>
      <w:r w:rsidRPr="00DC2E4C">
        <w:rPr>
          <w:rFonts w:eastAsia="標楷體" w:hint="eastAsia"/>
          <w:color w:val="FF0000"/>
        </w:rPr>
        <w:t>(</w:t>
      </w:r>
      <w:r w:rsidRPr="00DC2E4C">
        <w:rPr>
          <w:rFonts w:eastAsia="標楷體" w:hint="eastAsia"/>
          <w:color w:val="FF0000"/>
        </w:rPr>
        <w:t>說明會</w:t>
      </w:r>
      <w:r w:rsidRPr="00DC2E4C">
        <w:rPr>
          <w:rFonts w:eastAsia="標楷體" w:hint="eastAsia"/>
          <w:color w:val="FF0000"/>
        </w:rPr>
        <w:t>)</w:t>
      </w:r>
    </w:p>
    <w:p w14:paraId="5FF8706D" w14:textId="5803D80D" w:rsidR="00AD3601" w:rsidRPr="00DC2E4C" w:rsidRDefault="00AD3601" w:rsidP="00AD3601">
      <w:pPr>
        <w:tabs>
          <w:tab w:val="left" w:pos="851"/>
          <w:tab w:val="left" w:pos="1560"/>
        </w:tabs>
        <w:snapToGrid w:val="0"/>
        <w:spacing w:line="360" w:lineRule="auto"/>
        <w:rPr>
          <w:rFonts w:eastAsia="標楷體"/>
          <w:b/>
          <w:color w:val="FF0000"/>
        </w:rPr>
      </w:pPr>
      <w:r w:rsidRPr="00DC2E4C">
        <w:rPr>
          <w:rFonts w:eastAsia="標楷體"/>
          <w:color w:val="FF0000"/>
        </w:rPr>
        <w:t>時間</w:t>
      </w:r>
      <w:r w:rsidRPr="00DC2E4C">
        <w:rPr>
          <w:rFonts w:eastAsia="標楷體" w:hint="eastAsia"/>
          <w:color w:val="FF0000"/>
        </w:rPr>
        <w:t xml:space="preserve">: </w:t>
      </w:r>
      <w:r w:rsidRPr="00DC2E4C">
        <w:rPr>
          <w:rFonts w:eastAsia="標楷體"/>
          <w:b/>
          <w:bCs/>
          <w:color w:val="FF0000"/>
        </w:rPr>
        <w:t>110</w:t>
      </w:r>
      <w:r w:rsidRPr="00DC2E4C">
        <w:rPr>
          <w:rFonts w:eastAsia="標楷體"/>
          <w:b/>
          <w:bCs/>
          <w:color w:val="FF0000"/>
        </w:rPr>
        <w:t>年</w:t>
      </w:r>
      <w:r w:rsidRPr="00DC2E4C">
        <w:rPr>
          <w:rFonts w:eastAsia="標楷體"/>
          <w:b/>
          <w:bCs/>
          <w:color w:val="FF0000"/>
        </w:rPr>
        <w:t>11</w:t>
      </w:r>
      <w:r w:rsidRPr="00DC2E4C">
        <w:rPr>
          <w:rFonts w:eastAsia="標楷體"/>
          <w:b/>
          <w:bCs/>
          <w:color w:val="FF0000"/>
        </w:rPr>
        <w:t>月</w:t>
      </w:r>
      <w:r w:rsidRPr="00DC2E4C">
        <w:rPr>
          <w:rFonts w:eastAsia="標楷體"/>
          <w:b/>
          <w:bCs/>
          <w:color w:val="FF0000"/>
        </w:rPr>
        <w:t>12</w:t>
      </w:r>
      <w:r w:rsidRPr="00DC2E4C">
        <w:rPr>
          <w:rFonts w:eastAsia="標楷體"/>
          <w:b/>
          <w:bCs/>
          <w:color w:val="FF0000"/>
        </w:rPr>
        <w:t>日</w:t>
      </w:r>
      <w:r w:rsidRPr="00DC2E4C">
        <w:rPr>
          <w:rFonts w:eastAsia="標楷體"/>
          <w:b/>
          <w:bCs/>
          <w:color w:val="FF0000"/>
        </w:rPr>
        <w:t>(</w:t>
      </w:r>
      <w:r w:rsidRPr="00DC2E4C">
        <w:rPr>
          <w:rFonts w:eastAsia="標楷體"/>
          <w:b/>
          <w:bCs/>
          <w:color w:val="FF0000"/>
        </w:rPr>
        <w:t>星期五</w:t>
      </w:r>
      <w:r w:rsidRPr="00DC2E4C">
        <w:rPr>
          <w:rFonts w:eastAsia="標楷體"/>
          <w:b/>
          <w:bCs/>
          <w:color w:val="FF0000"/>
        </w:rPr>
        <w:t>) 19:00</w:t>
      </w:r>
      <w:r w:rsidRPr="00DC2E4C">
        <w:rPr>
          <w:rFonts w:eastAsia="標楷體"/>
          <w:b/>
          <w:color w:val="FF0000"/>
        </w:rPr>
        <w:t xml:space="preserve"> </w:t>
      </w:r>
    </w:p>
    <w:p w14:paraId="61C006E9" w14:textId="58FDF6D0" w:rsidR="00AD3601" w:rsidRPr="00AD3601" w:rsidRDefault="00AD3601" w:rsidP="00AD3601">
      <w:pPr>
        <w:tabs>
          <w:tab w:val="left" w:pos="851"/>
          <w:tab w:val="left" w:pos="1560"/>
        </w:tabs>
        <w:snapToGrid w:val="0"/>
        <w:spacing w:line="360" w:lineRule="auto"/>
        <w:rPr>
          <w:rFonts w:eastAsia="標楷體"/>
          <w:color w:val="000000"/>
        </w:rPr>
      </w:pPr>
      <w:r w:rsidRPr="00DC2E4C">
        <w:rPr>
          <w:rFonts w:eastAsia="標楷體"/>
          <w:color w:val="FF0000"/>
        </w:rPr>
        <w:t>地點</w:t>
      </w:r>
      <w:r w:rsidRPr="00DC2E4C">
        <w:rPr>
          <w:rFonts w:eastAsia="標楷體"/>
          <w:color w:val="FF0000"/>
        </w:rPr>
        <w:t>:</w:t>
      </w:r>
      <w:r w:rsidRPr="00DC2E4C">
        <w:rPr>
          <w:rFonts w:eastAsia="標楷體" w:hint="eastAsia"/>
          <w:color w:val="FF0000"/>
        </w:rPr>
        <w:t xml:space="preserve"> </w:t>
      </w:r>
      <w:r w:rsidRPr="00DC2E4C">
        <w:rPr>
          <w:rFonts w:eastAsia="標楷體"/>
          <w:b/>
          <w:bCs/>
          <w:color w:val="FF0000"/>
        </w:rPr>
        <w:t>體育館跆拳道教室</w:t>
      </w:r>
    </w:p>
    <w:p w14:paraId="22F3F70A" w14:textId="13452D6A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  <w:color w:val="000000"/>
        </w:rPr>
      </w:pPr>
      <w:r>
        <w:rPr>
          <w:rFonts w:eastAsia="標楷體"/>
          <w:color w:val="000000"/>
        </w:rPr>
        <w:t>獎勵方式：取前三名，獲得獎牌及獎品</w:t>
      </w:r>
      <w:r w:rsidRPr="00D133BC">
        <w:rPr>
          <w:rFonts w:eastAsia="標楷體" w:hint="eastAsia"/>
          <w:color w:val="FF0000"/>
        </w:rPr>
        <w:t>(</w:t>
      </w:r>
      <w:r w:rsidRPr="00D133BC">
        <w:rPr>
          <w:rFonts w:eastAsia="標楷體" w:hint="eastAsia"/>
          <w:color w:val="FF0000"/>
        </w:rPr>
        <w:t>超商禮品劵</w:t>
      </w:r>
      <w:r w:rsidRPr="00D133BC">
        <w:rPr>
          <w:rFonts w:eastAsia="標楷體" w:hint="eastAsia"/>
          <w:color w:val="FF0000"/>
        </w:rPr>
        <w:t>)</w:t>
      </w:r>
      <w:r>
        <w:rPr>
          <w:rFonts w:eastAsia="標楷體"/>
          <w:color w:val="000000"/>
        </w:rPr>
        <w:t>。</w:t>
      </w:r>
    </w:p>
    <w:p w14:paraId="045901F8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  <w:color w:val="000000"/>
        </w:rPr>
      </w:pPr>
      <w:r>
        <w:rPr>
          <w:rFonts w:eastAsia="標楷體"/>
          <w:color w:val="000000"/>
        </w:rPr>
        <w:t>競賽規則：</w:t>
      </w:r>
    </w:p>
    <w:p w14:paraId="65AD3792" w14:textId="77777777" w:rsidR="000E73E2" w:rsidRDefault="00AD3601">
      <w:pPr>
        <w:pStyle w:val="af2"/>
        <w:numPr>
          <w:ilvl w:val="0"/>
          <w:numId w:val="11"/>
        </w:numPr>
        <w:tabs>
          <w:tab w:val="left" w:pos="1560"/>
        </w:tabs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比賽時務必攜帶身分證明文件（學生請攜帶學生證、身分證）以備查詢。</w:t>
      </w:r>
    </w:p>
    <w:p w14:paraId="4139C9E2" w14:textId="77777777" w:rsidR="000E73E2" w:rsidRDefault="00AD3601">
      <w:pPr>
        <w:pStyle w:val="af2"/>
        <w:numPr>
          <w:ilvl w:val="0"/>
          <w:numId w:val="11"/>
        </w:numPr>
        <w:tabs>
          <w:tab w:val="left" w:pos="1560"/>
        </w:tabs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參賽者逾比賽時間不出場者以棄權論。</w:t>
      </w:r>
    </w:p>
    <w:p w14:paraId="6102C7E1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  <w:color w:val="000000"/>
        </w:rPr>
      </w:pPr>
      <w:r>
        <w:rPr>
          <w:rFonts w:eastAsia="標楷體"/>
          <w:color w:val="000000"/>
        </w:rPr>
        <w:t>申訴規定：</w:t>
      </w:r>
    </w:p>
    <w:p w14:paraId="42BAE857" w14:textId="77777777" w:rsidR="000E73E2" w:rsidRDefault="00AD3601">
      <w:pPr>
        <w:pStyle w:val="af2"/>
        <w:numPr>
          <w:ilvl w:val="0"/>
          <w:numId w:val="12"/>
        </w:numPr>
        <w:tabs>
          <w:tab w:val="left" w:pos="1560"/>
        </w:tabs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如有申訴事件，除當場口頭申訴外須於事實發生後</w:t>
      </w:r>
      <w:r>
        <w:rPr>
          <w:rFonts w:eastAsia="標楷體"/>
          <w:color w:val="000000"/>
        </w:rPr>
        <w:t>30</w:t>
      </w:r>
      <w:r>
        <w:rPr>
          <w:rFonts w:eastAsia="標楷體"/>
          <w:color w:val="000000"/>
        </w:rPr>
        <w:t>分內具正式申訴書，送大會審查。並繳交保證金新台幣</w:t>
      </w:r>
      <w:r>
        <w:rPr>
          <w:rFonts w:eastAsia="標楷體"/>
          <w:color w:val="000000"/>
        </w:rPr>
        <w:t>1,000</w:t>
      </w:r>
      <w:r>
        <w:rPr>
          <w:rFonts w:eastAsia="標楷體"/>
          <w:color w:val="000000"/>
        </w:rPr>
        <w:t>元整，以大會之判決為終結，不得再抗議。若申訴成立，保證金退回，不成立則保證金沒收，不得異議，申訴時間內比賽不得停止。</w:t>
      </w:r>
    </w:p>
    <w:p w14:paraId="17703723" w14:textId="77777777" w:rsidR="000E73E2" w:rsidRDefault="00AD3601">
      <w:pPr>
        <w:pStyle w:val="af2"/>
        <w:numPr>
          <w:ilvl w:val="0"/>
          <w:numId w:val="12"/>
        </w:numPr>
        <w:tabs>
          <w:tab w:val="left" w:pos="1560"/>
        </w:tabs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若有未盡事宜得由大會另行公佈實施之。</w:t>
      </w:r>
    </w:p>
    <w:p w14:paraId="46FFF1E9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  <w:color w:val="000000"/>
        </w:rPr>
      </w:pPr>
      <w:r>
        <w:rPr>
          <w:rFonts w:eastAsia="標楷體"/>
          <w:color w:val="000000"/>
        </w:rPr>
        <w:t>注意事項：</w:t>
      </w:r>
    </w:p>
    <w:p w14:paraId="63F05A53" w14:textId="79222C61" w:rsidR="000E73E2" w:rsidRDefault="00AD3601">
      <w:pPr>
        <w:numPr>
          <w:ilvl w:val="0"/>
          <w:numId w:val="13"/>
        </w:num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本辦法如有未盡事宜，得由大會公告修正之。若有任何問題請洽東華大學熱舞社</w:t>
      </w:r>
      <w:r w:rsidRPr="00DC2E4C">
        <w:rPr>
          <w:rFonts w:ascii="標楷體" w:eastAsia="標楷體" w:hAnsi="標楷體" w:hint="eastAsia"/>
          <w:color w:val="FF0000"/>
        </w:rPr>
        <w:t>，</w:t>
      </w:r>
      <w:r>
        <w:rPr>
          <w:rFonts w:eastAsia="標楷體"/>
          <w:color w:val="000000"/>
        </w:rPr>
        <w:t>410902037@gms.ndhu.edu.tw</w:t>
      </w:r>
      <w:r>
        <w:rPr>
          <w:rFonts w:eastAsia="標楷體"/>
          <w:color w:val="000000"/>
        </w:rPr>
        <w:t>，聯絡電話：</w:t>
      </w:r>
      <w:r>
        <w:rPr>
          <w:rFonts w:eastAsia="標楷體"/>
          <w:color w:val="000000"/>
        </w:rPr>
        <w:t>0966827960</w:t>
      </w:r>
    </w:p>
    <w:p w14:paraId="16C60476" w14:textId="77777777" w:rsidR="000E73E2" w:rsidRDefault="00AD3601">
      <w:pPr>
        <w:numPr>
          <w:ilvl w:val="0"/>
          <w:numId w:val="13"/>
        </w:num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活動已保險</w:t>
      </w:r>
    </w:p>
    <w:p w14:paraId="45A5E255" w14:textId="77777777" w:rsidR="000E73E2" w:rsidRDefault="00AD3601">
      <w:pPr>
        <w:numPr>
          <w:ilvl w:val="0"/>
          <w:numId w:val="13"/>
        </w:numPr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防疫規定</w:t>
      </w:r>
      <w:proofErr w:type="gramStart"/>
      <w:r>
        <w:rPr>
          <w:rFonts w:eastAsia="標楷體"/>
          <w:color w:val="000000"/>
        </w:rPr>
        <w:t>須實名制</w:t>
      </w:r>
      <w:proofErr w:type="gramEnd"/>
      <w:r>
        <w:rPr>
          <w:rFonts w:eastAsia="標楷體"/>
          <w:color w:val="000000"/>
        </w:rPr>
        <w:t>登記及量體溫，全程戴口罩</w:t>
      </w:r>
    </w:p>
    <w:p w14:paraId="07E8AAF4" w14:textId="77777777" w:rsidR="000E73E2" w:rsidRDefault="00AD3601">
      <w:pPr>
        <w:numPr>
          <w:ilvl w:val="0"/>
          <w:numId w:val="6"/>
        </w:numPr>
        <w:tabs>
          <w:tab w:val="left" w:pos="851"/>
          <w:tab w:val="left" w:pos="1560"/>
        </w:tabs>
        <w:snapToGrid w:val="0"/>
        <w:spacing w:line="360" w:lineRule="auto"/>
        <w:ind w:left="1418" w:hanging="1418"/>
        <w:rPr>
          <w:rFonts w:eastAsia="標楷體"/>
          <w:color w:val="000000"/>
        </w:rPr>
      </w:pPr>
      <w:r>
        <w:rPr>
          <w:rFonts w:eastAsia="標楷體"/>
          <w:color w:val="000000"/>
        </w:rPr>
        <w:t>附</w:t>
      </w:r>
      <w:r>
        <w:rPr>
          <w:rFonts w:eastAsia="標楷體"/>
          <w:color w:val="000000"/>
        </w:rPr>
        <w:t xml:space="preserve">   </w:t>
      </w:r>
      <w:r>
        <w:rPr>
          <w:rFonts w:eastAsia="標楷體"/>
          <w:color w:val="000000"/>
        </w:rPr>
        <w:t>件：</w:t>
      </w:r>
    </w:p>
    <w:p w14:paraId="03F2FE7A" w14:textId="77777777" w:rsidR="000E73E2" w:rsidRDefault="00AD3601">
      <w:pPr>
        <w:numPr>
          <w:ilvl w:val="0"/>
          <w:numId w:val="14"/>
        </w:numPr>
        <w:tabs>
          <w:tab w:val="left" w:pos="320"/>
        </w:tabs>
        <w:snapToGrid w:val="0"/>
        <w:spacing w:line="360" w:lineRule="auto"/>
        <w:rPr>
          <w:rFonts w:eastAsia="標楷體"/>
          <w:color w:val="000000"/>
        </w:rPr>
      </w:pPr>
      <w:r>
        <w:rPr>
          <w:rFonts w:eastAsia="標楷體"/>
          <w:color w:val="000000"/>
        </w:rPr>
        <w:t>附件一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</w:rPr>
        <w:t>報名表</w:t>
      </w:r>
    </w:p>
    <w:p w14:paraId="1C194BC4" w14:textId="77777777" w:rsidR="000E73E2" w:rsidRDefault="00AD3601">
      <w:pPr>
        <w:snapToGrid w:val="0"/>
        <w:spacing w:line="360" w:lineRule="auto"/>
        <w:ind w:left="1240"/>
      </w:pPr>
      <w:r>
        <w:rPr>
          <w:rFonts w:eastAsia="標楷體"/>
          <w:color w:val="000000"/>
        </w:rPr>
        <w:t>https://forms.gle/eKqzCC3sXaTJjkcA6</w:t>
      </w:r>
    </w:p>
    <w:sectPr w:rsidR="000E73E2">
      <w:pgSz w:w="11906" w:h="16838"/>
      <w:pgMar w:top="1134" w:right="1134" w:bottom="1134" w:left="1701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BF51C" w14:textId="77777777" w:rsidR="00EE51C6" w:rsidRDefault="00EE51C6">
      <w:r>
        <w:separator/>
      </w:r>
    </w:p>
  </w:endnote>
  <w:endnote w:type="continuationSeparator" w:id="0">
    <w:p w14:paraId="7B0434B5" w14:textId="77777777" w:rsidR="00EE51C6" w:rsidRDefault="00EE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31F1C" w14:textId="77777777" w:rsidR="00EE51C6" w:rsidRDefault="00EE51C6">
      <w:r>
        <w:rPr>
          <w:color w:val="000000"/>
        </w:rPr>
        <w:separator/>
      </w:r>
    </w:p>
  </w:footnote>
  <w:footnote w:type="continuationSeparator" w:id="0">
    <w:p w14:paraId="58CEE947" w14:textId="77777777" w:rsidR="00EE51C6" w:rsidRDefault="00EE51C6">
      <w:r>
        <w:continuationSeparator/>
      </w:r>
    </w:p>
  </w:footnote>
  <w:footnote w:id="1">
    <w:p w14:paraId="25E200B2" w14:textId="77777777" w:rsidR="000E73E2" w:rsidRDefault="00AD3601">
      <w:pPr>
        <w:pStyle w:val="af7"/>
      </w:pPr>
      <w:r>
        <w:rPr>
          <w:rStyle w:val="af9"/>
        </w:rPr>
        <w:footnoteRef/>
      </w:r>
      <w:r>
        <w:rPr>
          <w:rFonts w:ascii="標楷體" w:eastAsia="標楷體" w:hAnsi="標楷體"/>
        </w:rPr>
        <w:t xml:space="preserve"> Solo:即興獨舞</w:t>
      </w:r>
    </w:p>
  </w:footnote>
  <w:footnote w:id="2">
    <w:p w14:paraId="6A417BF0" w14:textId="77777777" w:rsidR="000E73E2" w:rsidRDefault="00AD3601">
      <w:pPr>
        <w:pStyle w:val="af7"/>
      </w:pPr>
      <w:r>
        <w:rPr>
          <w:rStyle w:val="af9"/>
        </w:rPr>
        <w:footnoteRef/>
      </w:r>
      <w:r>
        <w:rPr>
          <w:rFonts w:ascii="標楷體" w:eastAsia="標楷體" w:hAnsi="標楷體"/>
        </w:rPr>
        <w:t xml:space="preserve"> 排舞:編排好的一段舞蹈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4F57"/>
    <w:multiLevelType w:val="multilevel"/>
    <w:tmpl w:val="17880918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133121C"/>
    <w:multiLevelType w:val="multilevel"/>
    <w:tmpl w:val="EA00B774"/>
    <w:lvl w:ilvl="0">
      <w:start w:val="1"/>
      <w:numFmt w:val="taiwaneseCountingThousand"/>
      <w:lvlText w:val="(%1)"/>
      <w:lvlJc w:val="left"/>
      <w:pPr>
        <w:ind w:left="1240" w:hanging="39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FA815A0"/>
    <w:multiLevelType w:val="multilevel"/>
    <w:tmpl w:val="8DB86D68"/>
    <w:styleLink w:val="1"/>
    <w:lvl w:ilvl="0">
      <w:start w:val="1"/>
      <w:numFmt w:val="taiwaneseCountingThousand"/>
      <w:lvlText w:val="%1、"/>
      <w:lvlJc w:val="left"/>
      <w:pPr>
        <w:ind w:left="454" w:hanging="454"/>
      </w:pPr>
      <w:rPr>
        <w:rFonts w:ascii="Times New Roman" w:eastAsia="新細明體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CD3B58"/>
    <w:multiLevelType w:val="multilevel"/>
    <w:tmpl w:val="A21448C2"/>
    <w:styleLink w:val="10"/>
    <w:lvl w:ilvl="0">
      <w:start w:val="1"/>
      <w:numFmt w:val="taiwaneseCountingThousand"/>
      <w:lvlText w:val="%1、"/>
      <w:lvlJc w:val="left"/>
      <w:pPr>
        <w:ind w:left="454" w:hanging="454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7865B5"/>
    <w:multiLevelType w:val="multilevel"/>
    <w:tmpl w:val="E9BC511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BC65D80"/>
    <w:multiLevelType w:val="multilevel"/>
    <w:tmpl w:val="69A2DF70"/>
    <w:lvl w:ilvl="0">
      <w:start w:val="1"/>
      <w:numFmt w:val="taiwaneseCountingThousand"/>
      <w:lvlText w:val="(%1)"/>
      <w:lvlJc w:val="left"/>
      <w:pPr>
        <w:ind w:left="975" w:hanging="390"/>
      </w:pPr>
    </w:lvl>
    <w:lvl w:ilvl="1">
      <w:start w:val="1"/>
      <w:numFmt w:val="decimal"/>
      <w:lvlText w:val="%2."/>
      <w:lvlJc w:val="left"/>
      <w:pPr>
        <w:ind w:left="1545" w:hanging="480"/>
      </w:pPr>
    </w:lvl>
    <w:lvl w:ilvl="2">
      <w:start w:val="1"/>
      <w:numFmt w:val="lowerRoman"/>
      <w:lvlText w:val="%3."/>
      <w:lvlJc w:val="right"/>
      <w:pPr>
        <w:ind w:left="2025" w:hanging="480"/>
      </w:pPr>
    </w:lvl>
    <w:lvl w:ilvl="3">
      <w:start w:val="1"/>
      <w:numFmt w:val="decimal"/>
      <w:lvlText w:val="%4."/>
      <w:lvlJc w:val="left"/>
      <w:pPr>
        <w:ind w:left="2505" w:hanging="480"/>
      </w:pPr>
    </w:lvl>
    <w:lvl w:ilvl="4">
      <w:start w:val="1"/>
      <w:numFmt w:val="ideographTraditional"/>
      <w:lvlText w:val="%5、"/>
      <w:lvlJc w:val="left"/>
      <w:pPr>
        <w:ind w:left="2985" w:hanging="480"/>
      </w:pPr>
    </w:lvl>
    <w:lvl w:ilvl="5">
      <w:start w:val="1"/>
      <w:numFmt w:val="lowerRoman"/>
      <w:lvlText w:val="%6."/>
      <w:lvlJc w:val="right"/>
      <w:pPr>
        <w:ind w:left="3465" w:hanging="480"/>
      </w:pPr>
    </w:lvl>
    <w:lvl w:ilvl="6">
      <w:start w:val="1"/>
      <w:numFmt w:val="decimal"/>
      <w:lvlText w:val="%7."/>
      <w:lvlJc w:val="left"/>
      <w:pPr>
        <w:ind w:left="3945" w:hanging="480"/>
      </w:pPr>
    </w:lvl>
    <w:lvl w:ilvl="7">
      <w:start w:val="1"/>
      <w:numFmt w:val="ideographTraditional"/>
      <w:lvlText w:val="%8、"/>
      <w:lvlJc w:val="left"/>
      <w:pPr>
        <w:ind w:left="4425" w:hanging="480"/>
      </w:pPr>
    </w:lvl>
    <w:lvl w:ilvl="8">
      <w:start w:val="1"/>
      <w:numFmt w:val="lowerRoman"/>
      <w:lvlText w:val="%9."/>
      <w:lvlJc w:val="right"/>
      <w:pPr>
        <w:ind w:left="4905" w:hanging="480"/>
      </w:pPr>
    </w:lvl>
  </w:abstractNum>
  <w:abstractNum w:abstractNumId="6" w15:restartNumberingAfterBreak="0">
    <w:nsid w:val="3ECD0CF8"/>
    <w:multiLevelType w:val="multilevel"/>
    <w:tmpl w:val="828E08EA"/>
    <w:lvl w:ilvl="0">
      <w:start w:val="1"/>
      <w:numFmt w:val="taiwaneseCountingThousand"/>
      <w:lvlText w:val="(%1)"/>
      <w:lvlJc w:val="left"/>
      <w:pPr>
        <w:ind w:left="400" w:hanging="4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1C610C"/>
    <w:multiLevelType w:val="multilevel"/>
    <w:tmpl w:val="9238173A"/>
    <w:lvl w:ilvl="0">
      <w:start w:val="1"/>
      <w:numFmt w:val="taiwaneseCountingThousand"/>
      <w:lvlText w:val="(%1)"/>
      <w:lvlJc w:val="left"/>
      <w:pPr>
        <w:ind w:left="1240" w:hanging="390"/>
      </w:pPr>
    </w:lvl>
    <w:lvl w:ilvl="1">
      <w:start w:val="1"/>
      <w:numFmt w:val="ideographTraditional"/>
      <w:lvlText w:val="%2、"/>
      <w:lvlJc w:val="left"/>
      <w:pPr>
        <w:ind w:left="1810" w:hanging="48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446B0424"/>
    <w:multiLevelType w:val="multilevel"/>
    <w:tmpl w:val="FF646178"/>
    <w:lvl w:ilvl="0">
      <w:start w:val="1"/>
      <w:numFmt w:val="taiwaneseCountingThousand"/>
      <w:lvlText w:val="(%1)"/>
      <w:lvlJc w:val="left"/>
      <w:pPr>
        <w:ind w:left="400" w:hanging="40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05796E"/>
    <w:multiLevelType w:val="multilevel"/>
    <w:tmpl w:val="A4C21F90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0" w15:restartNumberingAfterBreak="0">
    <w:nsid w:val="51770645"/>
    <w:multiLevelType w:val="multilevel"/>
    <w:tmpl w:val="48347AAA"/>
    <w:styleLink w:val="LFO1"/>
    <w:lvl w:ilvl="0">
      <w:start w:val="1"/>
      <w:numFmt w:val="decimal"/>
      <w:pStyle w:val="a"/>
      <w:lvlText w:val="%1."/>
      <w:lvlJc w:val="left"/>
      <w:pPr>
        <w:ind w:left="361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53425448"/>
    <w:multiLevelType w:val="multilevel"/>
    <w:tmpl w:val="45F2E192"/>
    <w:styleLink w:val="11"/>
    <w:lvl w:ilvl="0">
      <w:start w:val="1"/>
      <w:numFmt w:val="taiwaneseCountingThousand"/>
      <w:lvlText w:val="%1、"/>
      <w:lvlJc w:val="left"/>
      <w:pPr>
        <w:ind w:left="454" w:hanging="454"/>
      </w:pPr>
      <w:rPr>
        <w:rFonts w:ascii="Times New Roman" w:eastAsia="新細明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2F1980"/>
    <w:multiLevelType w:val="multilevel"/>
    <w:tmpl w:val="FBCE9694"/>
    <w:lvl w:ilvl="0">
      <w:start w:val="1"/>
      <w:numFmt w:val="taiwaneseCountingThousand"/>
      <w:lvlText w:val="(%1)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6B45F4"/>
    <w:multiLevelType w:val="multilevel"/>
    <w:tmpl w:val="C6F42030"/>
    <w:styleLink w:val="a0"/>
    <w:lvl w:ilvl="0">
      <w:start w:val="1"/>
      <w:numFmt w:val="taiwaneseCountingThousand"/>
      <w:lvlText w:val="%1"/>
      <w:lvlJc w:val="left"/>
      <w:pPr>
        <w:ind w:left="240" w:hanging="480"/>
      </w:pPr>
      <w:rPr>
        <w:rFonts w:ascii="Times New Roman" w:eastAsia="新細明體" w:hAnsi="Times New Roman" w:cs="Times New Roman"/>
        <w:color w:val="auto"/>
        <w:spacing w:val="0"/>
        <w:kern w:val="0"/>
        <w:position w:val="0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720" w:hanging="480"/>
      </w:pPr>
    </w:lvl>
    <w:lvl w:ilvl="2">
      <w:start w:val="1"/>
      <w:numFmt w:val="lowerLetter"/>
      <w:lvlText w:val="%3."/>
      <w:lvlJc w:val="right"/>
      <w:pPr>
        <w:ind w:left="1440" w:hanging="480"/>
      </w:pPr>
    </w:lvl>
    <w:lvl w:ilvl="3">
      <w:start w:val="1"/>
      <w:numFmt w:val="none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E2"/>
    <w:rsid w:val="000E73E2"/>
    <w:rsid w:val="00196794"/>
    <w:rsid w:val="00AD3601"/>
    <w:rsid w:val="00AE134F"/>
    <w:rsid w:val="00AF35EB"/>
    <w:rsid w:val="00B06F05"/>
    <w:rsid w:val="00D133BC"/>
    <w:rsid w:val="00DC2E4C"/>
    <w:rsid w:val="00E31F48"/>
    <w:rsid w:val="00E624FA"/>
    <w:rsid w:val="00EE51C6"/>
    <w:rsid w:val="00E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47788"/>
  <w15:docId w15:val="{EA8AF78C-DAEB-4077-8698-80C35B8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12">
    <w:name w:val="heading 1"/>
    <w:basedOn w:val="a1"/>
    <w:next w:val="a1"/>
    <w:uiPriority w:val="9"/>
    <w:qFormat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1"/>
    <w:next w:val="a1"/>
    <w:uiPriority w:val="9"/>
    <w:semiHidden/>
    <w:unhideWhenUsed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uiPriority w:val="9"/>
    <w:semiHidden/>
    <w:unhideWhenUsed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uiPriority w:val="9"/>
    <w:semiHidden/>
    <w:unhideWhenUsed/>
    <w:qFormat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1"/>
    <w:next w:val="a1"/>
    <w:uiPriority w:val="9"/>
    <w:semiHidden/>
    <w:unhideWhenUsed/>
    <w:qFormat/>
    <w:pPr>
      <w:keepNext/>
      <w:spacing w:line="720" w:lineRule="auto"/>
      <w:ind w:left="200"/>
      <w:outlineLvl w:val="4"/>
    </w:pPr>
    <w:rPr>
      <w:rFonts w:ascii="Cambria" w:hAnsi="Cambria"/>
      <w:b/>
      <w:bCs/>
      <w:sz w:val="36"/>
      <w:szCs w:val="36"/>
    </w:rPr>
  </w:style>
  <w:style w:type="paragraph" w:styleId="9">
    <w:name w:val="heading 9"/>
    <w:basedOn w:val="a1"/>
    <w:next w:val="a1"/>
    <w:pPr>
      <w:keepNext/>
      <w:spacing w:line="720" w:lineRule="auto"/>
      <w:ind w:left="400"/>
      <w:outlineLvl w:val="8"/>
    </w:pPr>
    <w:rPr>
      <w:rFonts w:ascii="Arial" w:hAnsi="Arial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List 2"/>
    <w:basedOn w:val="a1"/>
    <w:pPr>
      <w:ind w:left="100" w:hanging="200"/>
    </w:pPr>
  </w:style>
  <w:style w:type="paragraph" w:styleId="a6">
    <w:name w:val="List"/>
    <w:basedOn w:val="a1"/>
    <w:pPr>
      <w:ind w:left="100" w:hanging="200"/>
    </w:pPr>
  </w:style>
  <w:style w:type="paragraph" w:styleId="a">
    <w:name w:val="List Number"/>
    <w:basedOn w:val="a1"/>
    <w:pPr>
      <w:numPr>
        <w:numId w:val="5"/>
      </w:numPr>
    </w:pPr>
  </w:style>
  <w:style w:type="character" w:styleId="a7">
    <w:name w:val="Hyperlink"/>
    <w:rPr>
      <w:color w:val="0000FF"/>
      <w:u w:val="single"/>
    </w:rPr>
  </w:style>
  <w:style w:type="character" w:customStyle="1" w:styleId="13">
    <w:name w:val="標題 1 字元"/>
    <w:rPr>
      <w:rFonts w:ascii="Arial" w:eastAsia="新細明體" w:hAnsi="Arial"/>
      <w:b/>
      <w:bCs/>
      <w:kern w:val="3"/>
      <w:sz w:val="52"/>
      <w:szCs w:val="52"/>
      <w:lang w:val="en-US" w:eastAsia="zh-TW" w:bidi="ar-SA"/>
    </w:rPr>
  </w:style>
  <w:style w:type="paragraph" w:styleId="14">
    <w:name w:val="toc 1"/>
    <w:basedOn w:val="a1"/>
    <w:next w:val="a1"/>
    <w:autoRedefine/>
    <w:pPr>
      <w:tabs>
        <w:tab w:val="right" w:leader="hyphen" w:pos="8630"/>
      </w:tabs>
      <w:spacing w:before="360"/>
    </w:pPr>
    <w:rPr>
      <w:rFonts w:ascii="標楷體" w:eastAsia="標楷體" w:hAnsi="標楷體"/>
      <w:b/>
      <w:bCs/>
      <w:caps/>
    </w:rPr>
  </w:style>
  <w:style w:type="paragraph" w:styleId="30">
    <w:name w:val="toc 3"/>
    <w:basedOn w:val="a1"/>
    <w:next w:val="a1"/>
    <w:autoRedefine/>
    <w:pPr>
      <w:tabs>
        <w:tab w:val="right" w:leader="hyphen" w:pos="8630"/>
      </w:tabs>
      <w:ind w:left="240"/>
    </w:pPr>
    <w:rPr>
      <w:rFonts w:ascii="Calibri" w:hAnsi="Calibri" w:cs="Calibri"/>
    </w:rPr>
  </w:style>
  <w:style w:type="paragraph" w:customStyle="1" w:styleId="ListParagraph1">
    <w:name w:val="List Paragraph1"/>
    <w:basedOn w:val="a1"/>
    <w:pPr>
      <w:ind w:left="480"/>
    </w:pPr>
  </w:style>
  <w:style w:type="paragraph" w:styleId="a8">
    <w:name w:val="Plain Text"/>
    <w:basedOn w:val="a1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customStyle="1" w:styleId="a9">
    <w:name w:val="純文字 字元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1"/>
  </w:style>
  <w:style w:type="paragraph" w:styleId="ac">
    <w:name w:val="annotation subject"/>
    <w:basedOn w:val="ab"/>
    <w:next w:val="ab"/>
    <w:rPr>
      <w:b/>
      <w:bCs/>
    </w:rPr>
  </w:style>
  <w:style w:type="paragraph" w:styleId="ad">
    <w:name w:val="Balloon Text"/>
    <w:basedOn w:val="a1"/>
    <w:rPr>
      <w:rFonts w:ascii="Arial" w:hAnsi="Arial"/>
      <w:sz w:val="18"/>
      <w:szCs w:val="18"/>
    </w:rPr>
  </w:style>
  <w:style w:type="paragraph" w:styleId="ae">
    <w:name w:val="foot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header"/>
    <w:basedOn w:val="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rPr>
      <w:rFonts w:eastAsia="新細明體"/>
      <w:kern w:val="3"/>
      <w:lang w:val="en-US" w:eastAsia="zh-TW" w:bidi="ar-SA"/>
    </w:rPr>
  </w:style>
  <w:style w:type="character" w:customStyle="1" w:styleId="af1">
    <w:name w:val="頁首 字元"/>
    <w:rPr>
      <w:rFonts w:eastAsia="新細明體"/>
      <w:kern w:val="3"/>
      <w:lang w:val="en-US" w:eastAsia="zh-TW" w:bidi="ar-SA"/>
    </w:rPr>
  </w:style>
  <w:style w:type="paragraph" w:styleId="af2">
    <w:name w:val="List Paragraph"/>
    <w:basedOn w:val="a1"/>
    <w:pPr>
      <w:ind w:left="480"/>
    </w:pPr>
  </w:style>
  <w:style w:type="character" w:styleId="af3">
    <w:name w:val="page number"/>
    <w:basedOn w:val="a2"/>
  </w:style>
  <w:style w:type="character" w:customStyle="1" w:styleId="FooterChar">
    <w:name w:val="Footer Char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character" w:customStyle="1" w:styleId="6">
    <w:name w:val="字元 字元6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">
    <w:name w:val="標題 2 字元"/>
    <w:rPr>
      <w:rFonts w:ascii="Arial" w:eastAsia="新細明體" w:hAnsi="Arial"/>
      <w:b/>
      <w:bCs/>
      <w:kern w:val="3"/>
      <w:sz w:val="48"/>
      <w:szCs w:val="48"/>
      <w:lang w:val="en-US" w:eastAsia="zh-TW" w:bidi="ar-SA"/>
    </w:rPr>
  </w:style>
  <w:style w:type="character" w:customStyle="1" w:styleId="31">
    <w:name w:val="標題 3 字元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paragraph" w:customStyle="1" w:styleId="NoSpacing1">
    <w:name w:val="No Spacing1"/>
    <w:pPr>
      <w:widowControl w:val="0"/>
      <w:suppressAutoHyphens/>
    </w:pPr>
    <w:rPr>
      <w:kern w:val="3"/>
      <w:sz w:val="24"/>
      <w:szCs w:val="24"/>
    </w:rPr>
  </w:style>
  <w:style w:type="character" w:customStyle="1" w:styleId="50">
    <w:name w:val="標題 5 字元"/>
    <w:rPr>
      <w:rFonts w:ascii="Cambria" w:hAnsi="Cambria"/>
      <w:b/>
      <w:bCs/>
      <w:kern w:val="3"/>
      <w:sz w:val="36"/>
      <w:szCs w:val="36"/>
    </w:rPr>
  </w:style>
  <w:style w:type="character" w:customStyle="1" w:styleId="15">
    <w:name w:val="未解析的提及項目1"/>
    <w:rPr>
      <w:color w:val="605E5C"/>
      <w:shd w:val="clear" w:color="auto" w:fill="E1DFDD"/>
    </w:rPr>
  </w:style>
  <w:style w:type="paragraph" w:styleId="af4">
    <w:name w:val="endnote text"/>
    <w:basedOn w:val="a1"/>
    <w:pPr>
      <w:snapToGrid w:val="0"/>
    </w:pPr>
  </w:style>
  <w:style w:type="character" w:customStyle="1" w:styleId="af5">
    <w:name w:val="章節附註文字 字元"/>
    <w:basedOn w:val="a2"/>
    <w:rPr>
      <w:kern w:val="3"/>
      <w:sz w:val="24"/>
      <w:szCs w:val="24"/>
    </w:rPr>
  </w:style>
  <w:style w:type="character" w:styleId="af6">
    <w:name w:val="endnote reference"/>
    <w:basedOn w:val="a2"/>
    <w:rPr>
      <w:position w:val="0"/>
      <w:vertAlign w:val="superscript"/>
    </w:rPr>
  </w:style>
  <w:style w:type="paragraph" w:styleId="af7">
    <w:name w:val="footnote text"/>
    <w:basedOn w:val="a1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2"/>
    <w:rPr>
      <w:kern w:val="3"/>
    </w:rPr>
  </w:style>
  <w:style w:type="character" w:styleId="af9">
    <w:name w:val="footnote reference"/>
    <w:basedOn w:val="a2"/>
    <w:rPr>
      <w:position w:val="0"/>
      <w:vertAlign w:val="superscript"/>
    </w:rPr>
  </w:style>
  <w:style w:type="numbering" w:customStyle="1" w:styleId="11">
    <w:name w:val="目前的清單1"/>
    <w:basedOn w:val="a4"/>
    <w:pPr>
      <w:numPr>
        <w:numId w:val="1"/>
      </w:numPr>
    </w:pPr>
  </w:style>
  <w:style w:type="numbering" w:customStyle="1" w:styleId="1">
    <w:name w:val="樣式1"/>
    <w:basedOn w:val="a4"/>
    <w:pPr>
      <w:numPr>
        <w:numId w:val="2"/>
      </w:numPr>
    </w:pPr>
  </w:style>
  <w:style w:type="numbering" w:customStyle="1" w:styleId="a0">
    <w:name w:val="運動會"/>
    <w:basedOn w:val="a4"/>
    <w:pPr>
      <w:numPr>
        <w:numId w:val="3"/>
      </w:numPr>
    </w:pPr>
  </w:style>
  <w:style w:type="numbering" w:customStyle="1" w:styleId="10">
    <w:name w:val="文章 / 章節1"/>
    <w:basedOn w:val="a4"/>
    <w:pPr>
      <w:numPr>
        <w:numId w:val="4"/>
      </w:numPr>
    </w:pPr>
  </w:style>
  <w:style w:type="numbering" w:customStyle="1" w:styleId="LFO1">
    <w:name w:val="LFO1"/>
    <w:basedOn w:val="a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AD08F3AE297C642B3A1D81D2BB2768E" ma:contentTypeVersion="7" ma:contentTypeDescription="建立新的文件。" ma:contentTypeScope="" ma:versionID="78f2b8a1106f1466ec4909c4858c93e3">
  <xsd:schema xmlns:xsd="http://www.w3.org/2001/XMLSchema" xmlns:xs="http://www.w3.org/2001/XMLSchema" xmlns:p="http://schemas.microsoft.com/office/2006/metadata/properties" xmlns:ns3="b29c98de-e140-461e-8bc2-7ddd704648ed" xmlns:ns4="bfc940fd-3ebf-4936-8246-6884b06d1ab2" targetNamespace="http://schemas.microsoft.com/office/2006/metadata/properties" ma:root="true" ma:fieldsID="b2186233fcab8519ad2379515bdf93d8" ns3:_="" ns4:_="">
    <xsd:import namespace="b29c98de-e140-461e-8bc2-7ddd704648ed"/>
    <xsd:import namespace="bfc940fd-3ebf-4936-8246-6884b06d1a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c98de-e140-461e-8bc2-7ddd70464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40fd-3ebf-4936-8246-6884b06d1a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D3D259-5B64-48E6-8423-FC12803AB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c98de-e140-461e-8bc2-7ddd704648ed"/>
    <ds:schemaRef ds:uri="bfc940fd-3ebf-4936-8246-6884b06d1a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FB19F-AE17-45C5-AE05-00FAABCAC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3CACB6-AB82-4AFF-86ED-08C6A373AE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 會 籌 備 委 員</dc:title>
  <dc:subject/>
  <dc:creator>OEM</dc:creator>
  <cp:lastModifiedBy>user</cp:lastModifiedBy>
  <cp:revision>2</cp:revision>
  <cp:lastPrinted>2014-09-26T00:42:00Z</cp:lastPrinted>
  <dcterms:created xsi:type="dcterms:W3CDTF">2021-10-29T02:20:00Z</dcterms:created>
  <dcterms:modified xsi:type="dcterms:W3CDTF">2021-10-29T02:20:00Z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0x0101002AD08F3AE297C642B3A1D81D2BB2768E</vt:lpwstr>
  </property>
</Properties>
</file>