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1B0B5B">
        <w:rPr>
          <w:rFonts w:eastAsia="標楷體" w:hint="eastAsia"/>
          <w:b/>
          <w:kern w:val="0"/>
          <w:sz w:val="28"/>
          <w:szCs w:val="28"/>
        </w:rPr>
        <w:t>4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0676E">
        <w:rPr>
          <w:rFonts w:eastAsia="標楷體" w:hint="eastAsia"/>
          <w:b/>
          <w:kern w:val="0"/>
          <w:sz w:val="28"/>
          <w:szCs w:val="28"/>
        </w:rPr>
        <w:t>9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…….….…….…</w:t>
      </w:r>
      <w:r w:rsidR="0050676E">
        <w:rPr>
          <w:rFonts w:eastAsia="標楷體" w:hint="eastAsia"/>
          <w:b/>
          <w:kern w:val="0"/>
          <w:sz w:val="28"/>
          <w:szCs w:val="28"/>
        </w:rPr>
        <w:t>17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EE7B20">
        <w:rPr>
          <w:rFonts w:ascii="標楷體" w:eastAsia="標楷體" w:hAnsi="標楷體" w:cs="Arial" w:hint="eastAsia"/>
          <w:color w:val="000000"/>
          <w:kern w:val="0"/>
        </w:rPr>
        <w:t>特色</w:t>
      </w:r>
      <w:r w:rsidR="001F4732">
        <w:rPr>
          <w:rFonts w:ascii="標楷體" w:eastAsia="標楷體" w:hAnsi="標楷體" w:cs="Arial" w:hint="eastAsia"/>
          <w:color w:val="000000"/>
          <w:kern w:val="0"/>
        </w:rPr>
        <w:t>主題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1F4732">
        <w:rPr>
          <w:rFonts w:ascii="標楷體" w:eastAsia="標楷體" w:hAnsi="標楷體" w:cs="Arial" w:hint="eastAsia"/>
          <w:color w:val="000000"/>
          <w:kern w:val="0"/>
        </w:rPr>
        <w:t>經營模式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>
        <w:rPr>
          <w:rFonts w:ascii="標楷體" w:eastAsia="標楷體" w:hAnsi="標楷體" w:hint="eastAsia"/>
          <w:kern w:val="0"/>
        </w:rPr>
        <w:t>有義務參加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BB745F">
        <w:rPr>
          <w:rFonts w:ascii="標楷體" w:eastAsia="標楷體" w:hAnsi="標楷體" w:hint="eastAsia"/>
          <w:color w:val="FF0000"/>
          <w:highlight w:val="yellow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lastRenderedPageBreak/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B4615E">
        <w:rPr>
          <w:rFonts w:eastAsia="標楷體" w:hint="eastAsia"/>
          <w:kern w:val="0"/>
        </w:rPr>
        <w:t>9</w:t>
      </w:r>
      <w:r w:rsidRPr="002F496B">
        <w:rPr>
          <w:rFonts w:eastAsia="標楷體"/>
          <w:kern w:val="0"/>
        </w:rPr>
        <w:t>年</w:t>
      </w:r>
      <w:r w:rsidR="00880682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3B79D6">
        <w:rPr>
          <w:rFonts w:eastAsia="標楷體" w:hint="eastAsia"/>
          <w:kern w:val="0"/>
        </w:rPr>
        <w:t>9</w:t>
      </w:r>
      <w:r w:rsidRPr="002F496B">
        <w:rPr>
          <w:rFonts w:eastAsia="標楷體"/>
          <w:kern w:val="0"/>
        </w:rPr>
        <w:t>年</w:t>
      </w:r>
      <w:r w:rsidR="00880682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CC713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</w:t>
      </w:r>
      <w:r w:rsidR="00B4615E">
        <w:rPr>
          <w:rFonts w:eastAsia="標楷體" w:hint="eastAsia"/>
        </w:rPr>
        <w:t>09</w:t>
      </w:r>
      <w:r w:rsidRPr="002F496B">
        <w:rPr>
          <w:rFonts w:eastAsia="標楷體"/>
        </w:rPr>
        <w:t>年</w:t>
      </w:r>
      <w:r w:rsidR="00880682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B4615E">
        <w:rPr>
          <w:rFonts w:eastAsia="標楷體" w:hint="eastAsia"/>
        </w:rPr>
        <w:t>15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6628FC">
        <w:rPr>
          <w:rFonts w:eastAsia="標楷體" w:hint="eastAsia"/>
        </w:rPr>
        <w:t>三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CC713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B4615E">
        <w:rPr>
          <w:rFonts w:eastAsia="標楷體" w:hint="eastAsia"/>
        </w:rPr>
        <w:t>9</w:t>
      </w:r>
      <w:r w:rsidRPr="002F496B">
        <w:rPr>
          <w:rFonts w:eastAsia="標楷體"/>
        </w:rPr>
        <w:t>年</w:t>
      </w:r>
      <w:r w:rsidR="00880682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B4615E">
        <w:rPr>
          <w:rFonts w:eastAsia="標楷體" w:hint="eastAsia"/>
        </w:rPr>
        <w:t>15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07550D" w:rsidRDefault="0007550D" w:rsidP="00CC713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50676E" w:rsidRPr="0050676E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853C63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3573A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3573A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3573A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3573A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3573A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573A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AC32E4">
        <w:rPr>
          <w:rFonts w:eastAsia="標楷體" w:hint="eastAsia"/>
          <w:b/>
          <w:color w:val="000000"/>
          <w:sz w:val="32"/>
          <w:szCs w:val="32"/>
        </w:rPr>
        <w:t>9-1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lastRenderedPageBreak/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107-2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  <w:bookmarkStart w:id="0" w:name="_GoBack"/>
      <w:bookmarkEnd w:id="0"/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P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Pr="00CC7137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D87E8F" w:rsidRDefault="00D87E8F" w:rsidP="00CC7137">
      <w:pPr>
        <w:rPr>
          <w:rFonts w:ascii="標楷體" w:eastAsia="標楷體" w:hAnsi="標楷體"/>
        </w:rPr>
      </w:pPr>
    </w:p>
    <w:p w:rsidR="00D87E8F" w:rsidRPr="00CC7137" w:rsidRDefault="00D87E8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50676E" w:rsidRPr="005F3AEE" w:rsidRDefault="0050676E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14,000*1.91%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3262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320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57,270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512F8F">
        <w:rPr>
          <w:rFonts w:eastAsia="標楷體" w:hint="eastAsia"/>
          <w:color w:val="000000"/>
        </w:rPr>
        <w:t>4-8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AC32E4" w:rsidRDefault="00AC32E4" w:rsidP="005C01AA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/>
          <w:b/>
          <w:sz w:val="28"/>
          <w:szCs w:val="28"/>
        </w:rPr>
        <w:t>10</w:t>
      </w:r>
      <w:r w:rsidRPr="00CC7137">
        <w:rPr>
          <w:rFonts w:ascii="標楷體" w:eastAsia="標楷體" w:hAnsi="標楷體" w:hint="eastAsia"/>
          <w:b/>
          <w:sz w:val="28"/>
          <w:szCs w:val="28"/>
        </w:rPr>
        <w:t>9-1學期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109-1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12F8F">
              <w:rPr>
                <w:rFonts w:eastAsia="標楷體" w:hint="eastAsia"/>
                <w:color w:val="000000" w:themeColor="text1"/>
              </w:rPr>
              <w:t>4-8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0676E"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3B79D6" w:rsidRPr="0050676E" w:rsidRDefault="001B0B5B" w:rsidP="0050676E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7/15(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proofErr w:type="gramStart"/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后</w:t>
      </w:r>
      <w:proofErr w:type="gramEnd"/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</w:t>
      </w:r>
      <w:r w:rsidR="005C01AA">
        <w:rPr>
          <w:rFonts w:eastAsia="標楷體" w:hint="eastAsia"/>
          <w:b/>
          <w:color w:val="000000"/>
          <w:sz w:val="32"/>
          <w:szCs w:val="32"/>
        </w:rPr>
        <w:t>9-1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5F08B2" w:rsidRDefault="001E4FCB" w:rsidP="00586252">
      <w:pPr>
        <w:rPr>
          <w:rFonts w:ascii="標楷體" w:eastAsia="標楷體" w:hAnsi="標楷體"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5F08B2" w:rsidRDefault="005F08B2" w:rsidP="00586252">
      <w:pPr>
        <w:rPr>
          <w:rFonts w:ascii="標楷體" w:eastAsia="標楷體" w:hAnsi="標楷體"/>
          <w:b/>
        </w:rPr>
      </w:pPr>
    </w:p>
    <w:p w:rsidR="005F08B2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與前次申請三創課程不同之處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P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107-2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972"/>
      </w:tblGrid>
      <w:tr w:rsidR="00EB309F" w:rsidRPr="000A20DE" w:rsidTr="00853C63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53C63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972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</w:p>
        </w:tc>
      </w:tr>
      <w:tr w:rsidR="00376EAC" w:rsidRPr="000A20DE" w:rsidTr="00853C63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972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AF2AC1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581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53C63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692D03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158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6,320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611407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101,344</w:t>
            </w:r>
          </w:p>
        </w:tc>
        <w:tc>
          <w:tcPr>
            <w:tcW w:w="3972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435513">
        <w:rPr>
          <w:rFonts w:eastAsia="標楷體" w:hint="eastAsia"/>
          <w:color w:val="000000"/>
        </w:rPr>
        <w:t>4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1B0B5B" w:rsidRPr="00590247" w:rsidRDefault="001B0B5B" w:rsidP="00376EAC">
      <w:pPr>
        <w:ind w:rightChars="-198" w:right="-475"/>
        <w:rPr>
          <w:rFonts w:eastAsia="標楷體"/>
          <w:color w:val="000000"/>
        </w:rPr>
      </w:pP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9-1</w:t>
      </w:r>
      <w:r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>
        <w:rPr>
          <w:rFonts w:eastAsia="標楷體" w:hint="eastAsia"/>
          <w:b/>
          <w:color w:val="000000"/>
          <w:sz w:val="32"/>
          <w:szCs w:val="32"/>
        </w:rPr>
        <w:t>B</w:t>
      </w:r>
      <w:r>
        <w:rPr>
          <w:rFonts w:eastAsia="標楷體" w:hint="eastAsia"/>
          <w:b/>
          <w:color w:val="000000"/>
          <w:sz w:val="32"/>
          <w:szCs w:val="32"/>
        </w:rPr>
        <w:t>類</w:t>
      </w:r>
      <w:r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>
        <w:rPr>
          <w:rFonts w:eastAsia="標楷體" w:hint="eastAsia"/>
          <w:b/>
          <w:color w:val="000000"/>
          <w:sz w:val="32"/>
          <w:szCs w:val="32"/>
        </w:rPr>
        <w:t>跨領域</w:t>
      </w:r>
      <w:r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969"/>
      </w:tblGrid>
      <w:tr w:rsidR="005C01AA" w:rsidRPr="00E55A7D" w:rsidTr="005C01AA">
        <w:tc>
          <w:tcPr>
            <w:tcW w:w="3320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969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01AA">
        <w:tc>
          <w:tcPr>
            <w:tcW w:w="3320" w:type="dxa"/>
            <w:vAlign w:val="center"/>
          </w:tcPr>
          <w:p w:rsidR="005D624B" w:rsidRPr="00E55A7D" w:rsidRDefault="00285B83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109-1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>
              <w:rPr>
                <w:rFonts w:eastAsia="標楷體" w:hint="eastAsia"/>
                <w:color w:val="000000"/>
              </w:rPr>
              <w:t>最</w:t>
            </w:r>
            <w:proofErr w:type="gramEnd"/>
            <w:r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969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01AA">
        <w:tc>
          <w:tcPr>
            <w:tcW w:w="332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332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(4-</w:t>
            </w:r>
            <w:r w:rsidR="00AC368B">
              <w:rPr>
                <w:rFonts w:eastAsia="標楷體" w:hint="eastAsia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50"/>
        </w:trPr>
        <w:tc>
          <w:tcPr>
            <w:tcW w:w="3320" w:type="dxa"/>
            <w:vAlign w:val="center"/>
          </w:tcPr>
          <w:p w:rsidR="005D624B" w:rsidRPr="005C01AA" w:rsidRDefault="005D624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0F1674" w:rsidRPr="0050676E" w:rsidRDefault="000F1674" w:rsidP="000F1674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7/15(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proofErr w:type="gramStart"/>
      <w:r>
        <w:rPr>
          <w:rFonts w:eastAsia="標楷體" w:hint="eastAsia"/>
          <w:color w:val="000000"/>
          <w:highlight w:val="lightGray"/>
          <w:shd w:val="pct15" w:color="auto" w:fill="FFFFFF"/>
        </w:rPr>
        <w:t>后</w:t>
      </w:r>
      <w:proofErr w:type="gramEnd"/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5C01AA" w:rsidRPr="000F1674" w:rsidRDefault="005C01AA">
      <w:pPr>
        <w:widowControl/>
        <w:rPr>
          <w:rFonts w:eastAsia="標楷體" w:hAnsi="標楷體"/>
          <w:b/>
          <w:color w:val="FF0000"/>
          <w:sz w:val="28"/>
        </w:rPr>
      </w:pPr>
    </w:p>
    <w:p w:rsidR="00285B83" w:rsidRDefault="00285B83">
      <w:pPr>
        <w:widowControl/>
        <w:rPr>
          <w:rFonts w:eastAsia="標楷體" w:hAnsi="標楷體"/>
          <w:b/>
          <w:color w:val="FF0000"/>
          <w:sz w:val="28"/>
        </w:rPr>
      </w:pPr>
    </w:p>
    <w:p w:rsidR="00435513" w:rsidRPr="0050676E" w:rsidRDefault="00973793" w:rsidP="0050676E">
      <w:pPr>
        <w:widowControl/>
        <w:rPr>
          <w:rFonts w:eastAsia="標楷體"/>
          <w:sz w:val="32"/>
          <w:szCs w:val="32"/>
        </w:rPr>
      </w:pPr>
      <w:r>
        <w:rPr>
          <w:rFonts w:eastAsia="標楷體" w:hAnsi="標楷體"/>
          <w:b/>
          <w:color w:val="FF0000"/>
          <w:sz w:val="28"/>
        </w:rPr>
        <w:br w:type="page"/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880682">
        <w:rPr>
          <w:rFonts w:eastAsia="標楷體" w:hint="eastAsia"/>
          <w:color w:val="000000"/>
          <w:sz w:val="28"/>
          <w:szCs w:val="28"/>
        </w:rPr>
        <w:t>9-1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52198">
        <w:rPr>
          <w:rFonts w:ascii="Times New Roman" w:eastAsia="標楷體" w:hAnsi="Times New Roman" w:cs="Times New Roman" w:hint="eastAsia"/>
          <w:sz w:val="40"/>
          <w:szCs w:val="40"/>
        </w:rPr>
        <w:t>9-1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3"/>
        <w:gridCol w:w="5468"/>
      </w:tblGrid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540CC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DC52BC" w:rsidRPr="00260FAC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540CC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540CC3">
        <w:trPr>
          <w:trHeight w:val="1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540CC3">
        <w:trPr>
          <w:trHeight w:val="40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540CC3">
        <w:trPr>
          <w:trHeight w:val="2117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30"/>
              <w:gridCol w:w="2027"/>
              <w:gridCol w:w="1518"/>
              <w:gridCol w:w="4415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58313D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4111"/>
              <w:gridCol w:w="4687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540CC3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2019/10/17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大專院校學生專屬！裕隆日產汽車創新風雲賞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58313D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https://times.hinet.net/news/22608625</w:t>
                    </w:r>
                    <w:r w:rsidR="00DC52BC" w:rsidRPr="00AF43C5">
                      <w:rPr>
                        <w:color w:val="0563C1"/>
                        <w:kern w:val="0"/>
                        <w:sz w:val="22"/>
                        <w:u w:val="single"/>
                      </w:rPr>
                      <w:br/>
                    </w:r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https://udn.com/news/story/7238/4110388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540CC3">
        <w:trPr>
          <w:trHeight w:val="309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57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309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3D" w:rsidRDefault="0058313D" w:rsidP="00EC48CB">
      <w:r>
        <w:separator/>
      </w:r>
    </w:p>
  </w:endnote>
  <w:endnote w:type="continuationSeparator" w:id="0">
    <w:p w:rsidR="0058313D" w:rsidRDefault="0058313D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EndPr/>
    <w:sdtContent>
      <w:p w:rsidR="0050676E" w:rsidRDefault="005067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A0" w:rsidRPr="003573A0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3D" w:rsidRDefault="0058313D" w:rsidP="00EC48CB">
      <w:r>
        <w:separator/>
      </w:r>
    </w:p>
  </w:footnote>
  <w:footnote w:type="continuationSeparator" w:id="0">
    <w:p w:rsidR="0058313D" w:rsidRDefault="0058313D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0776A"/>
    <w:rsid w:val="00023475"/>
    <w:rsid w:val="00032E3A"/>
    <w:rsid w:val="00033948"/>
    <w:rsid w:val="0003646D"/>
    <w:rsid w:val="00054F65"/>
    <w:rsid w:val="000577FD"/>
    <w:rsid w:val="00073CB3"/>
    <w:rsid w:val="0007550D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140C55"/>
    <w:rsid w:val="00153FAA"/>
    <w:rsid w:val="00156CB7"/>
    <w:rsid w:val="0016018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D324F"/>
    <w:rsid w:val="002F496B"/>
    <w:rsid w:val="00317FE3"/>
    <w:rsid w:val="003225E4"/>
    <w:rsid w:val="003254AF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4299"/>
    <w:rsid w:val="004256BE"/>
    <w:rsid w:val="00430C05"/>
    <w:rsid w:val="00435513"/>
    <w:rsid w:val="00464E1D"/>
    <w:rsid w:val="00472AA3"/>
    <w:rsid w:val="004737A3"/>
    <w:rsid w:val="00477616"/>
    <w:rsid w:val="004932EB"/>
    <w:rsid w:val="004A16F7"/>
    <w:rsid w:val="004C37FD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B286B"/>
    <w:rsid w:val="005B695F"/>
    <w:rsid w:val="005C01AA"/>
    <w:rsid w:val="005C1EFF"/>
    <w:rsid w:val="005D1D4A"/>
    <w:rsid w:val="005D624B"/>
    <w:rsid w:val="005E3B1C"/>
    <w:rsid w:val="005E5B70"/>
    <w:rsid w:val="005E656A"/>
    <w:rsid w:val="005F08B2"/>
    <w:rsid w:val="0060164E"/>
    <w:rsid w:val="00611407"/>
    <w:rsid w:val="006161A5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53C63"/>
    <w:rsid w:val="00880682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335FC"/>
    <w:rsid w:val="00A36492"/>
    <w:rsid w:val="00A37316"/>
    <w:rsid w:val="00A70428"/>
    <w:rsid w:val="00A73E7C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F2AC1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D158BB"/>
    <w:rsid w:val="00D17346"/>
    <w:rsid w:val="00D17D5A"/>
    <w:rsid w:val="00D24DCD"/>
    <w:rsid w:val="00D6171D"/>
    <w:rsid w:val="00D713D0"/>
    <w:rsid w:val="00D87E8F"/>
    <w:rsid w:val="00D927E6"/>
    <w:rsid w:val="00D96888"/>
    <w:rsid w:val="00DA721A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A57C0"/>
    <w:rsid w:val="00FB5737"/>
    <w:rsid w:val="00FB72E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mes.hinet.net/news/22608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608C-F68C-4BD8-AA5C-3F3E1166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</cp:lastModifiedBy>
  <cp:revision>5</cp:revision>
  <cp:lastPrinted>2020-06-16T05:48:00Z</cp:lastPrinted>
  <dcterms:created xsi:type="dcterms:W3CDTF">2020-06-17T02:39:00Z</dcterms:created>
  <dcterms:modified xsi:type="dcterms:W3CDTF">2020-07-06T06:40:00Z</dcterms:modified>
</cp:coreProperties>
</file>