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 w:rsidRPr="00DF07C3">
        <w:rPr>
          <w:rFonts w:eastAsia="標楷體" w:hint="eastAsia"/>
          <w:b/>
          <w:color w:val="FF0000"/>
        </w:rPr>
        <w:t>跨域</w:t>
      </w:r>
      <w:r w:rsidR="00892F4A" w:rsidRPr="00DF07C3">
        <w:rPr>
          <w:rFonts w:eastAsia="標楷體" w:hint="eastAsia"/>
          <w:b/>
          <w:color w:val="FF0000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3F533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6628FC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DF07C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6628FC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6628FC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6628FC">
        <w:rPr>
          <w:rFonts w:eastAsia="標楷體" w:hint="eastAsia"/>
        </w:rPr>
        <w:t>3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6628FC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6628FC">
        <w:rPr>
          <w:rFonts w:eastAsia="標楷體" w:hint="eastAsia"/>
        </w:rPr>
        <w:t>3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ED613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ED613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ED613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ED613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ED613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D613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376EAC">
        <w:rPr>
          <w:rFonts w:eastAsia="標楷體"/>
          <w:b/>
          <w:color w:val="000000"/>
          <w:sz w:val="32"/>
          <w:szCs w:val="32"/>
        </w:rPr>
        <w:t>8-1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8D38E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ED613B">
      <w:pPr>
        <w:spacing w:line="240" w:lineRule="atLeast"/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ED613B">
      <w:pPr>
        <w:spacing w:line="240" w:lineRule="atLeast"/>
        <w:jc w:val="both"/>
        <w:rPr>
          <w:rFonts w:ascii="標楷體" w:eastAsia="標楷體" w:hAnsi="標楷體"/>
          <w:b/>
        </w:rPr>
      </w:pPr>
    </w:p>
    <w:p w:rsidR="00ED613B" w:rsidRPr="00156CB7" w:rsidRDefault="00ED613B" w:rsidP="00ED613B">
      <w:pPr>
        <w:spacing w:line="240" w:lineRule="atLeast"/>
        <w:jc w:val="both"/>
        <w:rPr>
          <w:rFonts w:ascii="標楷體" w:eastAsia="標楷體" w:hAnsi="標楷體" w:hint="eastAsia"/>
          <w:b/>
        </w:rPr>
      </w:pPr>
    </w:p>
    <w:p w:rsidR="00EB309F" w:rsidRPr="00156CB7" w:rsidRDefault="008B3EC3" w:rsidP="00ED613B">
      <w:pPr>
        <w:spacing w:line="240" w:lineRule="atLeast"/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ED613B">
      <w:pPr>
        <w:spacing w:line="240" w:lineRule="atLeast"/>
        <w:rPr>
          <w:rFonts w:eastAsia="標楷體"/>
          <w:b/>
        </w:rPr>
      </w:pPr>
    </w:p>
    <w:p w:rsidR="00EB309F" w:rsidRDefault="00EB309F" w:rsidP="00ED613B">
      <w:pPr>
        <w:spacing w:line="240" w:lineRule="atLeast"/>
        <w:rPr>
          <w:rFonts w:eastAsia="標楷體"/>
          <w:b/>
        </w:rPr>
      </w:pPr>
    </w:p>
    <w:p w:rsidR="00586252" w:rsidRDefault="00586252" w:rsidP="00ED613B">
      <w:pPr>
        <w:spacing w:line="240" w:lineRule="atLeast"/>
        <w:rPr>
          <w:rFonts w:eastAsia="標楷體"/>
          <w:b/>
        </w:rPr>
      </w:pPr>
    </w:p>
    <w:p w:rsidR="00ED613B" w:rsidRDefault="00ED613B" w:rsidP="00ED613B">
      <w:pPr>
        <w:spacing w:line="240" w:lineRule="atLeast"/>
        <w:rPr>
          <w:rFonts w:eastAsia="標楷體" w:hint="eastAsia"/>
          <w:b/>
        </w:rPr>
      </w:pPr>
    </w:p>
    <w:p w:rsidR="00EB309F" w:rsidRPr="000A20DE" w:rsidRDefault="00EB309F" w:rsidP="00ED613B">
      <w:pPr>
        <w:spacing w:line="240" w:lineRule="atLeast"/>
        <w:rPr>
          <w:rFonts w:eastAsia="標楷體"/>
          <w:b/>
        </w:rPr>
      </w:pPr>
    </w:p>
    <w:p w:rsidR="00DD75FD" w:rsidRPr="00692D03" w:rsidRDefault="00DD75FD" w:rsidP="00ED613B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ED613B" w:rsidRDefault="00ED613B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 w:hint="eastAsia"/>
          <w:color w:val="808080"/>
        </w:rPr>
      </w:pPr>
    </w:p>
    <w:p w:rsidR="00586252" w:rsidRPr="00586252" w:rsidRDefault="00586252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ED613B">
      <w:pPr>
        <w:spacing w:line="240" w:lineRule="exact"/>
        <w:rPr>
          <w:rFonts w:eastAsia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 w:hint="eastAsia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6563F7" w:rsidRPr="00EB309F" w:rsidRDefault="006563F7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 w:hint="eastAsia"/>
          <w:color w:val="000000"/>
        </w:rPr>
      </w:pPr>
    </w:p>
    <w:p w:rsidR="00EB309F" w:rsidRPr="005F3AEE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7F5791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14,000*1.91%</w:t>
            </w:r>
          </w:p>
        </w:tc>
        <w:tc>
          <w:tcPr>
            <w:tcW w:w="1269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DC70CE" w:rsidP="00ED613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611407">
              <w:rPr>
                <w:rFonts w:eastAsia="標楷體" w:hint="eastAsia"/>
              </w:rPr>
              <w:t>5,450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08-1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sz w:val="32"/>
          <w:szCs w:val="32"/>
        </w:rPr>
        <w:t>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ED613B">
      <w:pPr>
        <w:spacing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  <w:bookmarkStart w:id="0" w:name="_GoBack"/>
      <w:bookmarkEnd w:id="0"/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ED613B" w:rsidRDefault="00ED613B" w:rsidP="00586252">
      <w:pPr>
        <w:adjustRightInd w:val="0"/>
        <w:snapToGrid w:val="0"/>
        <w:jc w:val="both"/>
        <w:rPr>
          <w:rFonts w:eastAsia="標楷體" w:hint="eastAsia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 w:hint="eastAsia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Pr="00692D03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D2DAD" w:rsidRPr="00692D03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10"/>
        <w:gridCol w:w="24"/>
        <w:gridCol w:w="1420"/>
        <w:gridCol w:w="1130"/>
        <w:gridCol w:w="3972"/>
      </w:tblGrid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11407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A16F7" w:rsidRPr="000A20DE" w:rsidTr="0061140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2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3"/>
          </w:tcPr>
          <w:p w:rsidR="00EB309F" w:rsidRPr="007F5791" w:rsidRDefault="00376EA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20,000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382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611407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10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44" w:type="dxa"/>
            <w:gridSpan w:val="2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Pr="00140C55" w:rsidRDefault="00376EAC" w:rsidP="00376EAC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35330B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1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4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EE5531" w:rsidRDefault="00376EAC" w:rsidP="00376EAC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4"/>
          </w:tcPr>
          <w:p w:rsidR="00376EAC" w:rsidRPr="00EE5531" w:rsidRDefault="00611407" w:rsidP="00376EAC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67,765</w:t>
            </w:r>
          </w:p>
        </w:tc>
        <w:tc>
          <w:tcPr>
            <w:tcW w:w="3972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12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Pr="00590247" w:rsidRDefault="00376EAC" w:rsidP="00376EAC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89372C" w:rsidRPr="00376EAC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464E1D">
        <w:rPr>
          <w:rFonts w:eastAsia="標楷體" w:hint="eastAsia"/>
          <w:color w:val="000000"/>
          <w:sz w:val="28"/>
          <w:szCs w:val="28"/>
        </w:rPr>
        <w:t>8-1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08-1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37" w:rsidRDefault="00721F37" w:rsidP="00EC48CB">
      <w:r>
        <w:separator/>
      </w:r>
    </w:p>
  </w:endnote>
  <w:endnote w:type="continuationSeparator" w:id="0">
    <w:p w:rsidR="00721F37" w:rsidRDefault="00721F37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EndPr/>
    <w:sdtContent>
      <w:p w:rsidR="00586CED" w:rsidRDefault="00586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3B" w:rsidRPr="00ED613B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37" w:rsidRDefault="00721F37" w:rsidP="00EC48CB">
      <w:r>
        <w:separator/>
      </w:r>
    </w:p>
  </w:footnote>
  <w:footnote w:type="continuationSeparator" w:id="0">
    <w:p w:rsidR="00721F37" w:rsidRDefault="00721F37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32A6E"/>
    <w:rsid w:val="00236C11"/>
    <w:rsid w:val="00241B17"/>
    <w:rsid w:val="00260FAC"/>
    <w:rsid w:val="00265569"/>
    <w:rsid w:val="0026578C"/>
    <w:rsid w:val="002670CA"/>
    <w:rsid w:val="00280BDC"/>
    <w:rsid w:val="002B5ADE"/>
    <w:rsid w:val="002C5E1F"/>
    <w:rsid w:val="002D324F"/>
    <w:rsid w:val="002F496B"/>
    <w:rsid w:val="00317FE3"/>
    <w:rsid w:val="003225E4"/>
    <w:rsid w:val="003254AF"/>
    <w:rsid w:val="003429B5"/>
    <w:rsid w:val="00376EAC"/>
    <w:rsid w:val="003C15DF"/>
    <w:rsid w:val="003C2C4C"/>
    <w:rsid w:val="003F0A6E"/>
    <w:rsid w:val="003F5333"/>
    <w:rsid w:val="003F7936"/>
    <w:rsid w:val="00414299"/>
    <w:rsid w:val="004256BE"/>
    <w:rsid w:val="00430C05"/>
    <w:rsid w:val="00464E1D"/>
    <w:rsid w:val="004737A3"/>
    <w:rsid w:val="00477616"/>
    <w:rsid w:val="004932EB"/>
    <w:rsid w:val="004A16F7"/>
    <w:rsid w:val="004C37FD"/>
    <w:rsid w:val="00503537"/>
    <w:rsid w:val="00523942"/>
    <w:rsid w:val="0053164F"/>
    <w:rsid w:val="00535739"/>
    <w:rsid w:val="00553170"/>
    <w:rsid w:val="00553D1B"/>
    <w:rsid w:val="005675C3"/>
    <w:rsid w:val="00582646"/>
    <w:rsid w:val="00582D77"/>
    <w:rsid w:val="00586252"/>
    <w:rsid w:val="00586CED"/>
    <w:rsid w:val="00590247"/>
    <w:rsid w:val="005915AC"/>
    <w:rsid w:val="005B286B"/>
    <w:rsid w:val="005B695F"/>
    <w:rsid w:val="005C1EFF"/>
    <w:rsid w:val="005D1D4A"/>
    <w:rsid w:val="005E3B1C"/>
    <w:rsid w:val="005E656A"/>
    <w:rsid w:val="00611407"/>
    <w:rsid w:val="006161A5"/>
    <w:rsid w:val="006260F2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D426B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77C1"/>
    <w:rsid w:val="00980CEC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B496D"/>
    <w:rsid w:val="00AC3792"/>
    <w:rsid w:val="00AC381B"/>
    <w:rsid w:val="00AC788C"/>
    <w:rsid w:val="00AD3CA5"/>
    <w:rsid w:val="00AD4068"/>
    <w:rsid w:val="00B27578"/>
    <w:rsid w:val="00B41893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27E6"/>
    <w:rsid w:val="00D96888"/>
    <w:rsid w:val="00DC233E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13B"/>
    <w:rsid w:val="00ED6E29"/>
    <w:rsid w:val="00EE7B20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EF03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6D6E-1F12-4A11-88B9-FD8ECFF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6</cp:revision>
  <cp:lastPrinted>2019-06-03T01:45:00Z</cp:lastPrinted>
  <dcterms:created xsi:type="dcterms:W3CDTF">2019-05-27T07:52:00Z</dcterms:created>
  <dcterms:modified xsi:type="dcterms:W3CDTF">2019-06-03T03:59:00Z</dcterms:modified>
</cp:coreProperties>
</file>