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9" w:rsidRDefault="00320CD9" w:rsidP="009B4D00">
      <w:pPr>
        <w:pStyle w:val="Web"/>
        <w:spacing w:before="0" w:beforeAutospacing="0" w:after="0" w:afterAutospacing="0"/>
        <w:jc w:val="center"/>
        <w:textAlignment w:val="baseline"/>
      </w:pPr>
      <w:r>
        <w:rPr>
          <w:rFonts w:ascii="標楷體" w:eastAsia="標楷體" w:hAnsi="標楷體" w:cs="+mn-cs" w:hint="eastAsia"/>
          <w:b/>
          <w:bCs/>
          <w:color w:val="003300"/>
          <w:kern w:val="24"/>
          <w:sz w:val="48"/>
          <w:szCs w:val="48"/>
        </w:rPr>
        <w:t>立榮航空</w:t>
      </w:r>
      <w:r>
        <w:rPr>
          <w:rFonts w:ascii="標楷體" w:eastAsia="標楷體" w:hAnsi="標楷體" w:cs="+mn-cs" w:hint="eastAsia"/>
          <w:b/>
          <w:bCs/>
          <w:color w:val="003300"/>
          <w:kern w:val="24"/>
          <w:sz w:val="48"/>
          <w:szCs w:val="48"/>
          <w:eastAsianLayout w:id="1418991878"/>
        </w:rPr>
        <w:t>企業</w:t>
      </w:r>
      <w:r>
        <w:rPr>
          <w:rFonts w:ascii="標楷體" w:eastAsia="標楷體" w:hAnsi="標楷體" w:cs="+mn-cs" w:hint="eastAsia"/>
          <w:b/>
          <w:bCs/>
          <w:color w:val="003300"/>
          <w:kern w:val="24"/>
          <w:sz w:val="48"/>
          <w:szCs w:val="48"/>
          <w:eastAsianLayout w:id="1418991879"/>
        </w:rPr>
        <w:t>會員購票辦法及回饋說明</w:t>
      </w:r>
    </w:p>
    <w:p w:rsidR="00320CD9" w:rsidRPr="00320CD9" w:rsidRDefault="009B4D00" w:rsidP="00320CD9">
      <w:pPr>
        <w:rPr>
          <w:rFonts w:hint="eastAsia"/>
          <w:sz w:val="32"/>
          <w:szCs w:val="32"/>
        </w:rPr>
      </w:pPr>
      <w:r w:rsidRPr="009B4D00">
        <w:rPr>
          <w:rFonts w:hint="eastAsia"/>
          <w:sz w:val="32"/>
          <w:szCs w:val="32"/>
        </w:rPr>
        <w:t>累積機票淨額活動</w:t>
      </w:r>
      <w:r w:rsidRPr="009B4D00">
        <w:rPr>
          <w:rFonts w:hint="eastAsia"/>
          <w:sz w:val="32"/>
          <w:szCs w:val="32"/>
        </w:rPr>
        <w:t>(</w:t>
      </w:r>
      <w:r w:rsidRPr="009B4D00">
        <w:rPr>
          <w:rFonts w:hint="eastAsia"/>
          <w:sz w:val="32"/>
          <w:szCs w:val="32"/>
        </w:rPr>
        <w:t>舉手之勞作愛心</w:t>
      </w:r>
      <w:r w:rsidRPr="009B4D00">
        <w:rPr>
          <w:rFonts w:hint="eastAsia"/>
          <w:sz w:val="32"/>
          <w:szCs w:val="32"/>
        </w:rPr>
        <w:t>)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proofErr w:type="gramStart"/>
      <w:r w:rsidR="00320CD9" w:rsidRPr="00320CD9">
        <w:rPr>
          <w:rFonts w:hint="eastAsia"/>
          <w:sz w:val="32"/>
          <w:szCs w:val="32"/>
        </w:rPr>
        <w:t>只要於立榮</w:t>
      </w:r>
      <w:proofErr w:type="gramEnd"/>
      <w:r w:rsidR="00320CD9" w:rsidRPr="00320CD9">
        <w:rPr>
          <w:rFonts w:hint="eastAsia"/>
          <w:sz w:val="32"/>
          <w:szCs w:val="32"/>
        </w:rPr>
        <w:t>航空全球資訊網、立榮航空</w:t>
      </w:r>
      <w:r w:rsidR="00320CD9" w:rsidRPr="00320CD9">
        <w:rPr>
          <w:rFonts w:hint="eastAsia"/>
          <w:sz w:val="32"/>
          <w:szCs w:val="32"/>
        </w:rPr>
        <w:t>App</w:t>
      </w:r>
      <w:r w:rsidR="00320CD9" w:rsidRPr="00320CD9">
        <w:rPr>
          <w:rFonts w:hint="eastAsia"/>
          <w:sz w:val="32"/>
          <w:szCs w:val="32"/>
        </w:rPr>
        <w:t>、</w:t>
      </w:r>
      <w:r w:rsidR="00320CD9" w:rsidRPr="00320CD9">
        <w:rPr>
          <w:rFonts w:hint="eastAsia"/>
          <w:sz w:val="32"/>
          <w:szCs w:val="32"/>
        </w:rPr>
        <w:t xml:space="preserve">7-11 </w:t>
      </w:r>
      <w:proofErr w:type="spellStart"/>
      <w:r w:rsidR="00320CD9" w:rsidRPr="00320CD9">
        <w:rPr>
          <w:rFonts w:hint="eastAsia"/>
          <w:sz w:val="32"/>
          <w:szCs w:val="32"/>
        </w:rPr>
        <w:t>ibon</w:t>
      </w:r>
      <w:proofErr w:type="spellEnd"/>
      <w:r w:rsidR="00320CD9" w:rsidRPr="00320CD9">
        <w:rPr>
          <w:rFonts w:hint="eastAsia"/>
          <w:sz w:val="32"/>
          <w:szCs w:val="32"/>
        </w:rPr>
        <w:t>及</w:t>
      </w:r>
      <w:proofErr w:type="gramStart"/>
      <w:r w:rsidR="00320CD9" w:rsidRPr="00320CD9">
        <w:rPr>
          <w:rFonts w:hint="eastAsia"/>
          <w:sz w:val="32"/>
          <w:szCs w:val="32"/>
        </w:rPr>
        <w:t>立榮金廈</w:t>
      </w:r>
      <w:proofErr w:type="gramEnd"/>
      <w:r w:rsidR="00320CD9" w:rsidRPr="00320CD9">
        <w:rPr>
          <w:rFonts w:hint="eastAsia"/>
          <w:sz w:val="32"/>
          <w:szCs w:val="32"/>
        </w:rPr>
        <w:t>一條龍訂位購票，並於訂位購票流程中</w:t>
      </w:r>
      <w:r w:rsidR="00320CD9" w:rsidRPr="0079619D">
        <w:rPr>
          <w:rFonts w:hint="eastAsia"/>
          <w:b/>
          <w:sz w:val="32"/>
          <w:szCs w:val="32"/>
          <w:u w:val="single"/>
        </w:rPr>
        <w:t>輸入</w:t>
      </w:r>
      <w:r w:rsidR="00320CD9" w:rsidRPr="0079619D">
        <w:rPr>
          <w:rFonts w:hint="eastAsia"/>
          <w:b/>
          <w:sz w:val="32"/>
          <w:szCs w:val="32"/>
          <w:u w:val="single"/>
        </w:rPr>
        <w:t>本校</w:t>
      </w:r>
      <w:r w:rsidR="00320CD9" w:rsidRPr="0079619D">
        <w:rPr>
          <w:rFonts w:hint="eastAsia"/>
          <w:b/>
          <w:sz w:val="32"/>
          <w:szCs w:val="32"/>
          <w:u w:val="single"/>
        </w:rPr>
        <w:t>統一編號</w:t>
      </w:r>
      <w:r w:rsidR="00320CD9" w:rsidRPr="0079619D">
        <w:rPr>
          <w:rFonts w:asciiTheme="minorEastAsia" w:hAnsiTheme="minorEastAsia" w:hint="eastAsia"/>
          <w:b/>
          <w:sz w:val="32"/>
          <w:szCs w:val="32"/>
          <w:u w:val="single"/>
        </w:rPr>
        <w:t>：</w:t>
      </w:r>
      <w:r w:rsidR="00320CD9" w:rsidRPr="0079619D">
        <w:rPr>
          <w:rFonts w:asciiTheme="minorEastAsia" w:hAnsiTheme="minorEastAsia"/>
          <w:b/>
          <w:sz w:val="32"/>
          <w:szCs w:val="32"/>
          <w:u w:val="single"/>
        </w:rPr>
        <w:t>08153719</w:t>
      </w:r>
      <w:r w:rsidRPr="0079619D">
        <w:rPr>
          <w:rFonts w:hint="eastAsia"/>
          <w:b/>
          <w:sz w:val="32"/>
          <w:szCs w:val="32"/>
        </w:rPr>
        <w:t>，</w:t>
      </w:r>
      <w:r>
        <w:rPr>
          <w:rFonts w:hint="eastAsia"/>
          <w:sz w:val="32"/>
          <w:szCs w:val="32"/>
        </w:rPr>
        <w:t>即可為</w:t>
      </w:r>
      <w:r w:rsidR="00320CD9" w:rsidRPr="00320CD9">
        <w:rPr>
          <w:rFonts w:hint="eastAsia"/>
          <w:sz w:val="32"/>
          <w:szCs w:val="32"/>
        </w:rPr>
        <w:t>累計購票張數</w:t>
      </w:r>
      <w:r>
        <w:rPr>
          <w:rFonts w:asciiTheme="minorEastAsia" w:hAnsiTheme="minorEastAsia" w:hint="eastAsia"/>
          <w:sz w:val="32"/>
          <w:szCs w:val="32"/>
        </w:rPr>
        <w:t>，所獲得之</w:t>
      </w:r>
      <w:r w:rsidRPr="009B4D00">
        <w:rPr>
          <w:rFonts w:asciiTheme="minorEastAsia" w:hAnsiTheme="minorEastAsia" w:hint="eastAsia"/>
          <w:sz w:val="32"/>
          <w:szCs w:val="32"/>
        </w:rPr>
        <w:t>免費機票將贊助本校清寒交換學生或補助其他清寒學生之用</w:t>
      </w:r>
      <w:r>
        <w:rPr>
          <w:rFonts w:asciiTheme="minorEastAsia" w:hAnsiTheme="minorEastAsia" w:hint="eastAsia"/>
          <w:sz w:val="32"/>
          <w:szCs w:val="32"/>
        </w:rPr>
        <w:t>。</w:t>
      </w:r>
      <w:bookmarkStart w:id="0" w:name="_GoBack"/>
      <w:bookmarkEnd w:id="0"/>
    </w:p>
    <w:tbl>
      <w:tblPr>
        <w:tblW w:w="10632" w:type="dxa"/>
        <w:tblInd w:w="-1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9356"/>
      </w:tblGrid>
      <w:tr w:rsidR="00320CD9" w:rsidRPr="00320CD9" w:rsidTr="009B4D00">
        <w:trPr>
          <w:trHeight w:val="397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0CD9" w:rsidRPr="00320CD9" w:rsidRDefault="00320CD9" w:rsidP="00320CD9">
            <w:pPr>
              <w:widowControl/>
              <w:tabs>
                <w:tab w:val="left" w:pos="11175"/>
              </w:tabs>
              <w:jc w:val="both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20CD9">
              <w:rPr>
                <w:rFonts w:ascii="Calibri" w:eastAsia="新細明體" w:hAnsi="Calibri" w:cs="Arial"/>
                <w:b/>
                <w:bCs/>
                <w:color w:val="FFFFFF"/>
                <w:kern w:val="24"/>
                <w:sz w:val="32"/>
                <w:szCs w:val="32"/>
              </w:rPr>
              <w:t xml:space="preserve">        </w:t>
            </w:r>
          </w:p>
        </w:tc>
        <w:tc>
          <w:tcPr>
            <w:tcW w:w="93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6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CD9" w:rsidRPr="00320CD9" w:rsidRDefault="00320CD9" w:rsidP="00320CD9">
            <w:pPr>
              <w:widowControl/>
              <w:tabs>
                <w:tab w:val="left" w:pos="11175"/>
              </w:tabs>
              <w:jc w:val="center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20CD9">
              <w:rPr>
                <w:rFonts w:ascii="標楷體" w:eastAsia="標楷體" w:hAnsi="標楷體" w:cs="Arial" w:hint="eastAsia"/>
                <w:b/>
                <w:bCs/>
                <w:color w:val="FFFFFF"/>
                <w:kern w:val="24"/>
                <w:sz w:val="32"/>
                <w:szCs w:val="32"/>
              </w:rPr>
              <w:t>購票辦法及回饋說明</w:t>
            </w:r>
          </w:p>
        </w:tc>
      </w:tr>
      <w:tr w:rsidR="00320CD9" w:rsidRPr="00320CD9" w:rsidTr="009B4D00">
        <w:trPr>
          <w:trHeight w:val="576"/>
        </w:trPr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6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CD9" w:rsidRPr="00320CD9" w:rsidRDefault="00320CD9" w:rsidP="00320CD9">
            <w:pPr>
              <w:widowControl/>
              <w:tabs>
                <w:tab w:val="left" w:pos="11175"/>
              </w:tabs>
              <w:jc w:val="center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20CD9">
              <w:rPr>
                <w:rFonts w:ascii="標楷體" w:eastAsia="標楷體" w:hAnsi="標楷體" w:cs="Arial" w:hint="eastAsia"/>
                <w:b/>
                <w:bCs/>
                <w:color w:val="FFFFFF"/>
                <w:kern w:val="24"/>
                <w:szCs w:val="24"/>
              </w:rPr>
              <w:t>購票通路</w:t>
            </w:r>
          </w:p>
        </w:tc>
        <w:tc>
          <w:tcPr>
            <w:tcW w:w="93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0CD9" w:rsidRPr="00320CD9" w:rsidRDefault="00320CD9" w:rsidP="00320CD9">
            <w:pPr>
              <w:widowControl/>
              <w:tabs>
                <w:tab w:val="left" w:pos="3610"/>
                <w:tab w:val="left" w:pos="11175"/>
              </w:tabs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立榮航空全球資訊網、立榮航空</w:t>
            </w:r>
            <w:r w:rsidRPr="00320CD9">
              <w:rPr>
                <w:rFonts w:ascii="Times New Roman" w:eastAsia="標楷體" w:hAnsi="Times New Roman" w:cs="Times New Roman"/>
                <w:color w:val="000000"/>
                <w:kern w:val="24"/>
                <w:szCs w:val="24"/>
              </w:rPr>
              <w:t>App</w:t>
            </w: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、超商、立榮航空全球資訊網『金廈一條龍』套</w:t>
            </w:r>
            <w:proofErr w:type="gramStart"/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券</w:t>
            </w:r>
            <w:proofErr w:type="gramEnd"/>
          </w:p>
        </w:tc>
      </w:tr>
      <w:tr w:rsidR="00320CD9" w:rsidRPr="00320CD9" w:rsidTr="009B4D00">
        <w:trPr>
          <w:trHeight w:val="2592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6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CD9" w:rsidRPr="00320CD9" w:rsidRDefault="00320CD9" w:rsidP="00320CD9">
            <w:pPr>
              <w:widowControl/>
              <w:tabs>
                <w:tab w:val="left" w:pos="1168"/>
                <w:tab w:val="left" w:pos="11175"/>
              </w:tabs>
              <w:jc w:val="center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20CD9">
              <w:rPr>
                <w:rFonts w:ascii="標楷體" w:eastAsia="標楷體" w:hAnsi="標楷體" w:cs="Arial" w:hint="eastAsia"/>
                <w:b/>
                <w:bCs/>
                <w:color w:val="FFFFFF"/>
                <w:kern w:val="24"/>
                <w:szCs w:val="24"/>
              </w:rPr>
              <w:t>銷售票種</w:t>
            </w:r>
          </w:p>
        </w:tc>
        <w:tc>
          <w:tcPr>
            <w:tcW w:w="9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0CD9" w:rsidRPr="00320CD9" w:rsidRDefault="00320CD9" w:rsidP="00320CD9">
            <w:pPr>
              <w:widowControl/>
              <w:tabs>
                <w:tab w:val="left" w:pos="11175"/>
              </w:tabs>
              <w:spacing w:line="360" w:lineRule="exact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●</w:t>
            </w:r>
            <w:r w:rsidRPr="00320CD9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立榮</w:t>
            </w:r>
            <w:proofErr w:type="gramStart"/>
            <w:r w:rsidRPr="00320CD9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航空官網</w:t>
            </w:r>
            <w:proofErr w:type="gramEnd"/>
            <w:r w:rsidRPr="00320CD9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、立榮航空</w:t>
            </w:r>
            <w:r w:rsidRPr="00320CD9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App</w:t>
            </w:r>
            <w:r w:rsidRPr="00320CD9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、超商</w:t>
            </w:r>
            <w:r w:rsidRPr="00320CD9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>:</w:t>
            </w:r>
          </w:p>
          <w:p w:rsidR="009B4D00" w:rsidRDefault="00320CD9" w:rsidP="00320CD9">
            <w:pPr>
              <w:widowControl/>
              <w:tabs>
                <w:tab w:val="left" w:pos="11175"/>
              </w:tabs>
              <w:spacing w:line="360" w:lineRule="exact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</w:pP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 xml:space="preserve">  </w:t>
            </w: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全額、信用卡優惠、促銷優惠、敬老、兒童、軍人、愛心、愛心陪同、</w:t>
            </w:r>
          </w:p>
          <w:p w:rsidR="009B4D00" w:rsidRDefault="009B4D00" w:rsidP="00320CD9">
            <w:pPr>
              <w:widowControl/>
              <w:tabs>
                <w:tab w:val="left" w:pos="11175"/>
              </w:tabs>
              <w:spacing w:line="360" w:lineRule="exact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  </w:t>
            </w:r>
            <w:r w:rsidR="00320CD9" w:rsidRPr="00320CD9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居民、居民促銷、居民敬老、居民愛心、居民愛心陪同等13個票種(嬰</w:t>
            </w:r>
          </w:p>
          <w:p w:rsidR="00320CD9" w:rsidRPr="00320CD9" w:rsidRDefault="009B4D00" w:rsidP="00320CD9">
            <w:pPr>
              <w:widowControl/>
              <w:tabs>
                <w:tab w:val="left" w:pos="11175"/>
              </w:tabs>
              <w:spacing w:line="360" w:lineRule="exact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  </w:t>
            </w:r>
            <w:proofErr w:type="gramStart"/>
            <w:r w:rsidR="00320CD9" w:rsidRPr="00320CD9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兒票不予</w:t>
            </w:r>
            <w:proofErr w:type="gramEnd"/>
            <w:r w:rsidR="00320CD9" w:rsidRPr="00320CD9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列計)。</w:t>
            </w:r>
          </w:p>
          <w:p w:rsidR="00320CD9" w:rsidRPr="00320CD9" w:rsidRDefault="00320CD9" w:rsidP="00320CD9">
            <w:pPr>
              <w:widowControl/>
              <w:tabs>
                <w:tab w:val="left" w:pos="11175"/>
              </w:tabs>
              <w:spacing w:before="120" w:line="360" w:lineRule="exact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 w:val="22"/>
              </w:rPr>
              <w:t>●</w:t>
            </w:r>
            <w:r w:rsidRPr="00320CD9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立榮航空全球資訊網『金廈一條龍』套</w:t>
            </w:r>
            <w:proofErr w:type="gramStart"/>
            <w:r w:rsidRPr="00320CD9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券</w:t>
            </w:r>
            <w:proofErr w:type="gramEnd"/>
          </w:p>
          <w:p w:rsidR="00320CD9" w:rsidRPr="00320CD9" w:rsidRDefault="00320CD9" w:rsidP="00320CD9">
            <w:pPr>
              <w:widowControl/>
              <w:tabs>
                <w:tab w:val="left" w:pos="11175"/>
              </w:tabs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  全額票、敬老票、兒童票、愛心票、愛心陪同票、居民票6個銷售票種</w:t>
            </w:r>
          </w:p>
          <w:p w:rsidR="00320CD9" w:rsidRPr="00320CD9" w:rsidRDefault="00320CD9" w:rsidP="00320CD9">
            <w:pPr>
              <w:widowControl/>
              <w:tabs>
                <w:tab w:val="left" w:pos="11175"/>
              </w:tabs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  (嬰兒不予列計)，均可列入購票累計票數。</w:t>
            </w:r>
          </w:p>
        </w:tc>
      </w:tr>
      <w:tr w:rsidR="00320CD9" w:rsidRPr="00320CD9" w:rsidTr="009B4D00">
        <w:trPr>
          <w:trHeight w:val="3507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6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CD9" w:rsidRPr="00320CD9" w:rsidRDefault="00320CD9" w:rsidP="00320CD9">
            <w:pPr>
              <w:widowControl/>
              <w:tabs>
                <w:tab w:val="left" w:pos="698"/>
                <w:tab w:val="left" w:pos="1308"/>
                <w:tab w:val="left" w:pos="11175"/>
              </w:tabs>
              <w:jc w:val="center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20CD9">
              <w:rPr>
                <w:rFonts w:ascii="標楷體" w:eastAsia="標楷體" w:hAnsi="標楷體" w:cs="Arial" w:hint="eastAsia"/>
                <w:b/>
                <w:bCs/>
                <w:color w:val="FFFFFF"/>
                <w:kern w:val="24"/>
                <w:szCs w:val="24"/>
              </w:rPr>
              <w:t>回饋辦法</w:t>
            </w:r>
          </w:p>
          <w:p w:rsidR="00320CD9" w:rsidRPr="00320CD9" w:rsidRDefault="00320CD9" w:rsidP="00320CD9">
            <w:pPr>
              <w:widowControl/>
              <w:tabs>
                <w:tab w:val="left" w:pos="698"/>
                <w:tab w:val="left" w:pos="1308"/>
                <w:tab w:val="left" w:pos="11175"/>
              </w:tabs>
              <w:jc w:val="center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20CD9">
              <w:rPr>
                <w:rFonts w:ascii="Calibri" w:eastAsia="新細明體" w:hAnsi="Calibri" w:cs="Arial"/>
                <w:b/>
                <w:bCs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9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0CD9" w:rsidRPr="00320CD9" w:rsidRDefault="00320CD9" w:rsidP="009B4D00">
            <w:pPr>
              <w:widowControl/>
              <w:tabs>
                <w:tab w:val="left" w:pos="3100"/>
                <w:tab w:val="left" w:pos="3243"/>
                <w:tab w:val="left" w:pos="4855"/>
              </w:tabs>
              <w:spacing w:line="240" w:lineRule="atLeast"/>
              <w:ind w:left="29" w:hanging="142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 w:val="22"/>
              </w:rPr>
              <w:t>●</w:t>
            </w: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每年四期結算購票張數，累計區間為1-3月、4-6月、7-9月、</w:t>
            </w:r>
            <w:r w:rsidR="009B4D00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10-12</w:t>
            </w: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月。</w:t>
            </w:r>
          </w:p>
          <w:p w:rsidR="00320CD9" w:rsidRPr="00320CD9" w:rsidRDefault="00320CD9" w:rsidP="00320CD9">
            <w:pPr>
              <w:widowControl/>
              <w:tabs>
                <w:tab w:val="left" w:pos="3100"/>
                <w:tab w:val="left" w:pos="3243"/>
                <w:tab w:val="left" w:pos="4855"/>
              </w:tabs>
              <w:spacing w:before="4" w:line="360" w:lineRule="exact"/>
              <w:ind w:left="115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 每期累計購滿100張單程機票，即可申請兌換  國內線單程機票3張，</w:t>
            </w:r>
          </w:p>
          <w:p w:rsidR="00320CD9" w:rsidRPr="00320CD9" w:rsidRDefault="00320CD9" w:rsidP="00320CD9">
            <w:pPr>
              <w:widowControl/>
              <w:tabs>
                <w:tab w:val="left" w:pos="3100"/>
                <w:tab w:val="left" w:pos="3243"/>
                <w:tab w:val="left" w:pos="4855"/>
              </w:tabs>
              <w:spacing w:before="4" w:line="360" w:lineRule="exact"/>
              <w:ind w:left="230" w:hanging="144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 超過100張可於下期繼續累計兌換，若當期未達回饋門檻即停止累計，重新計算。 </w:t>
            </w:r>
          </w:p>
          <w:p w:rsidR="00320CD9" w:rsidRPr="00320CD9" w:rsidRDefault="00320CD9" w:rsidP="009B4D00">
            <w:pPr>
              <w:widowControl/>
              <w:tabs>
                <w:tab w:val="left" w:pos="3100"/>
                <w:tab w:val="left" w:pos="3243"/>
                <w:tab w:val="left" w:pos="4855"/>
              </w:tabs>
              <w:spacing w:before="120" w:line="360" w:lineRule="exact"/>
              <w:ind w:left="29" w:hanging="144"/>
              <w:jc w:val="both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●</w:t>
            </w: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新會員新加入的月份至最近結算時間點未滿一期，則以每月30張單程機票作為首次回饋門檻。</w:t>
            </w:r>
          </w:p>
          <w:p w:rsidR="00320CD9" w:rsidRPr="00320CD9" w:rsidRDefault="00320CD9" w:rsidP="00320CD9">
            <w:pPr>
              <w:widowControl/>
              <w:tabs>
                <w:tab w:val="left" w:pos="3100"/>
                <w:tab w:val="left" w:pos="3243"/>
                <w:tab w:val="left" w:pos="4855"/>
              </w:tabs>
              <w:spacing w:before="120" w:line="360" w:lineRule="exact"/>
              <w:ind w:left="29" w:hanging="144"/>
              <w:jc w:val="both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 w:val="22"/>
              </w:rPr>
              <w:t>●</w:t>
            </w:r>
            <w:r w:rsidRPr="00320CD9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達回饋門檻之企業會員需於3個月內主動提出回饋申請，逾期視同放棄。</w:t>
            </w:r>
          </w:p>
        </w:tc>
      </w:tr>
    </w:tbl>
    <w:p w:rsidR="00F66F43" w:rsidRPr="00320CD9" w:rsidRDefault="00F66F43" w:rsidP="00F66F43">
      <w:pPr>
        <w:jc w:val="center"/>
        <w:rPr>
          <w:rFonts w:hint="eastAsia"/>
        </w:rPr>
      </w:pPr>
    </w:p>
    <w:sectPr w:rsidR="00F66F43" w:rsidRPr="00320CD9" w:rsidSect="009B4D00">
      <w:pgSz w:w="11906" w:h="16838"/>
      <w:pgMar w:top="907" w:right="851" w:bottom="79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43"/>
    <w:rsid w:val="00320CD9"/>
    <w:rsid w:val="0046297B"/>
    <w:rsid w:val="0079619D"/>
    <w:rsid w:val="00960ED3"/>
    <w:rsid w:val="009B4D00"/>
    <w:rsid w:val="00AF6602"/>
    <w:rsid w:val="00F66F43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49CA6-69F0-4B59-AB67-D2167493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8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0C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橙色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2017-04-18T07:40:00Z</dcterms:created>
  <dcterms:modified xsi:type="dcterms:W3CDTF">2017-04-18T08:43:00Z</dcterms:modified>
</cp:coreProperties>
</file>