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0E" w:rsidRDefault="001C6A0E" w:rsidP="00055EFE">
      <w:pPr>
        <w:spacing w:line="0" w:lineRule="atLeast"/>
        <w:ind w:left="646" w:hangingChars="202" w:hanging="646"/>
        <w:jc w:val="center"/>
        <w:rPr>
          <w:rFonts w:ascii="標楷體" w:eastAsia="標楷體" w:hAnsi="標楷體" w:hint="eastAsia"/>
          <w:sz w:val="32"/>
          <w:szCs w:val="32"/>
        </w:rPr>
      </w:pPr>
      <w:r w:rsidRPr="00055EFE">
        <w:rPr>
          <w:rFonts w:ascii="標楷體" w:eastAsia="標楷體" w:hAnsi="標楷體" w:hint="eastAsia"/>
          <w:sz w:val="32"/>
          <w:szCs w:val="32"/>
        </w:rPr>
        <w:t>國立東華大學紙本公文歸檔</w:t>
      </w:r>
      <w:r w:rsidR="00032133" w:rsidRPr="00055EFE">
        <w:rPr>
          <w:rFonts w:ascii="標楷體" w:eastAsia="標楷體" w:hAnsi="標楷體" w:hint="eastAsia"/>
          <w:sz w:val="32"/>
          <w:szCs w:val="32"/>
        </w:rPr>
        <w:t>作業原則</w:t>
      </w:r>
    </w:p>
    <w:p w:rsidR="00055EFE" w:rsidRPr="00055EFE" w:rsidRDefault="00055EFE" w:rsidP="00055EFE">
      <w:pPr>
        <w:spacing w:line="0" w:lineRule="atLeast"/>
        <w:ind w:left="646" w:hangingChars="202" w:hanging="646"/>
        <w:jc w:val="center"/>
        <w:rPr>
          <w:rFonts w:ascii="標楷體" w:eastAsia="標楷體" w:hAnsi="標楷體"/>
          <w:sz w:val="32"/>
          <w:szCs w:val="32"/>
        </w:rPr>
      </w:pPr>
    </w:p>
    <w:p w:rsidR="00581C38" w:rsidRPr="00FB6148" w:rsidRDefault="00FB6148" w:rsidP="00FB6148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一、</w:t>
      </w:r>
      <w:r w:rsidR="00032133">
        <w:rPr>
          <w:rFonts w:ascii="標楷體" w:eastAsia="標楷體" w:hAnsi="標楷體" w:hint="eastAsia"/>
          <w:sz w:val="28"/>
          <w:szCs w:val="28"/>
        </w:rPr>
        <w:t>節錄</w:t>
      </w:r>
      <w:r w:rsidRPr="00FB6148">
        <w:rPr>
          <w:rFonts w:ascii="標楷體" w:eastAsia="標楷體" w:hAnsi="標楷體" w:hint="eastAsia"/>
          <w:sz w:val="28"/>
          <w:szCs w:val="28"/>
        </w:rPr>
        <w:t>機關檔案管理作業手冊第7章第5節第1項辦法，各單位承辦人員或文書人員應先行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查檢擬歸檔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案件是否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辦畢及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填列分類號與保存年限，未填列者，應由承辦人員補填</w:t>
      </w:r>
      <w:r w:rsidR="00032133">
        <w:rPr>
          <w:rFonts w:ascii="標楷體" w:eastAsia="標楷體" w:hAnsi="標楷體" w:hint="eastAsia"/>
          <w:sz w:val="28"/>
          <w:szCs w:val="28"/>
        </w:rPr>
        <w:t>：</w:t>
      </w:r>
      <w:r w:rsidR="00032133" w:rsidRPr="00FB6148">
        <w:rPr>
          <w:rFonts w:ascii="標楷體" w:eastAsia="標楷體" w:hAnsi="標楷體"/>
          <w:sz w:val="28"/>
          <w:szCs w:val="28"/>
        </w:rPr>
        <w:t xml:space="preserve"> </w:t>
      </w:r>
    </w:p>
    <w:p w:rsidR="00FB6148" w:rsidRPr="00FB6148" w:rsidRDefault="00FB6148" w:rsidP="00B26B42">
      <w:pPr>
        <w:spacing w:line="0" w:lineRule="atLeas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（一）歸檔案件以原件為原則，有附件者，每1種以1份為限，未以原件歸檔者，應敘明具體事由簽陳機關權責長官核准後，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案辦理歸檔。</w:t>
      </w:r>
    </w:p>
    <w:p w:rsidR="00FB6148" w:rsidRPr="00FB6148" w:rsidRDefault="00FB6148" w:rsidP="00B26B42">
      <w:pPr>
        <w:spacing w:line="0" w:lineRule="atLeas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附件屬抽存續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辦者，承辦人員應於本文敘明，並於附件註記文（編）號，簽奉機關權責長官核准；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俟其辦畢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後，承辦人員應依規定辦理附件歸檔事宜。</w:t>
      </w:r>
    </w:p>
    <w:p w:rsidR="00FB6148" w:rsidRPr="00FB6148" w:rsidRDefault="00FB6148" w:rsidP="00B26B42">
      <w:pPr>
        <w:spacing w:line="0" w:lineRule="atLeas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（三）附件為書籍經指定保存單位或為應公開之陳列品（如海報），得不辦理歸檔。</w:t>
      </w:r>
    </w:p>
    <w:p w:rsidR="00FB6148" w:rsidRPr="00FB6148" w:rsidRDefault="00FB6148" w:rsidP="00B26B42">
      <w:pPr>
        <w:spacing w:line="0" w:lineRule="atLeas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（四）歸檔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案件屬紙本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型式者，承辦人員應將同一案件逐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件逐頁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編碼，其方式如下：</w:t>
      </w:r>
    </w:p>
    <w:p w:rsidR="00FB6148" w:rsidRPr="00FB6148" w:rsidRDefault="00B26B42" w:rsidP="00B26B42">
      <w:pPr>
        <w:spacing w:line="0" w:lineRule="atLeast"/>
        <w:ind w:leftChars="589" w:left="1840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FB6148" w:rsidRPr="00FB6148">
        <w:rPr>
          <w:rFonts w:ascii="標楷體" w:eastAsia="標楷體" w:hAnsi="標楷體" w:hint="eastAsia"/>
          <w:sz w:val="28"/>
          <w:szCs w:val="28"/>
        </w:rPr>
        <w:t>、按文件產生時間先後順序整理排序，晚者在上，</w:t>
      </w:r>
      <w:proofErr w:type="gramStart"/>
      <w:r w:rsidR="00FB6148" w:rsidRPr="00FB6148">
        <w:rPr>
          <w:rFonts w:ascii="標楷體" w:eastAsia="標楷體" w:hAnsi="標楷體" w:hint="eastAsia"/>
          <w:sz w:val="28"/>
          <w:szCs w:val="28"/>
        </w:rPr>
        <w:t>早者在下</w:t>
      </w:r>
      <w:proofErr w:type="gramEnd"/>
      <w:r w:rsidR="00FB6148" w:rsidRPr="00FB6148">
        <w:rPr>
          <w:rFonts w:ascii="標楷體" w:eastAsia="標楷體" w:hAnsi="標楷體" w:hint="eastAsia"/>
          <w:sz w:val="28"/>
          <w:szCs w:val="28"/>
        </w:rPr>
        <w:t>。</w:t>
      </w:r>
    </w:p>
    <w:p w:rsidR="00FB6148" w:rsidRPr="00FB6148" w:rsidRDefault="00B26B42" w:rsidP="00B26B42">
      <w:pPr>
        <w:spacing w:line="0" w:lineRule="atLeast"/>
        <w:ind w:leftChars="589" w:left="1840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FB6148" w:rsidRPr="00FB6148">
        <w:rPr>
          <w:rFonts w:ascii="標楷體" w:eastAsia="標楷體" w:hAnsi="標楷體" w:hint="eastAsia"/>
          <w:sz w:val="28"/>
          <w:szCs w:val="28"/>
        </w:rPr>
        <w:t>、頁碼編寫順序，先編本文，</w:t>
      </w:r>
      <w:proofErr w:type="gramStart"/>
      <w:r w:rsidR="00FB6148" w:rsidRPr="00FB6148">
        <w:rPr>
          <w:rFonts w:ascii="標楷體" w:eastAsia="標楷體" w:hAnsi="標楷體" w:hint="eastAsia"/>
          <w:sz w:val="28"/>
          <w:szCs w:val="28"/>
        </w:rPr>
        <w:t>次編附件</w:t>
      </w:r>
      <w:proofErr w:type="gramEnd"/>
      <w:r w:rsidR="00FB6148" w:rsidRPr="00FB6148">
        <w:rPr>
          <w:rFonts w:ascii="標楷體" w:eastAsia="標楷體" w:hAnsi="標楷體" w:hint="eastAsia"/>
          <w:sz w:val="28"/>
          <w:szCs w:val="28"/>
        </w:rPr>
        <w:t>，由上而下為之，並於案件首頁註明總頁數。</w:t>
      </w:r>
    </w:p>
    <w:p w:rsidR="00FB6148" w:rsidRPr="00FB6148" w:rsidRDefault="00B26B42" w:rsidP="00B26B42">
      <w:pPr>
        <w:spacing w:line="0" w:lineRule="atLeast"/>
        <w:ind w:leftChars="589" w:left="1840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FB6148" w:rsidRPr="00FB6148">
        <w:rPr>
          <w:rFonts w:ascii="標楷體" w:eastAsia="標楷體" w:hAnsi="標楷體" w:hint="eastAsia"/>
          <w:sz w:val="28"/>
          <w:szCs w:val="28"/>
        </w:rPr>
        <w:t>、應以鉛筆於每頁適當位置編寫；文件為雙面書寫或列印者亦同。</w:t>
      </w:r>
    </w:p>
    <w:p w:rsidR="00FB6148" w:rsidRPr="00FB6148" w:rsidRDefault="00B26B42" w:rsidP="00B26B42">
      <w:pPr>
        <w:spacing w:line="0" w:lineRule="atLeast"/>
        <w:ind w:leftChars="589" w:left="1840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FB6148" w:rsidRPr="00FB6148">
        <w:rPr>
          <w:rFonts w:ascii="標楷體" w:eastAsia="標楷體" w:hAnsi="標楷體" w:hint="eastAsia"/>
          <w:sz w:val="28"/>
          <w:szCs w:val="28"/>
        </w:rPr>
        <w:t>、附件已編有頁碼或為書籍型式或</w:t>
      </w:r>
      <w:proofErr w:type="gramStart"/>
      <w:r w:rsidR="00FB6148" w:rsidRPr="00FB6148">
        <w:rPr>
          <w:rFonts w:ascii="標楷體" w:eastAsia="標楷體" w:hAnsi="標楷體" w:hint="eastAsia"/>
          <w:sz w:val="28"/>
          <w:szCs w:val="28"/>
        </w:rPr>
        <w:t>難以隨文裝訂</w:t>
      </w:r>
      <w:proofErr w:type="gramEnd"/>
      <w:r w:rsidR="00FB6148" w:rsidRPr="00FB6148">
        <w:rPr>
          <w:rFonts w:ascii="標楷體" w:eastAsia="標楷體" w:hAnsi="標楷體" w:hint="eastAsia"/>
          <w:sz w:val="28"/>
          <w:szCs w:val="28"/>
        </w:rPr>
        <w:t>者，免</w:t>
      </w:r>
      <w:proofErr w:type="gramStart"/>
      <w:r w:rsidR="00FB6148" w:rsidRPr="00FB614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FB6148" w:rsidRPr="00FB6148">
        <w:rPr>
          <w:rFonts w:ascii="標楷體" w:eastAsia="標楷體" w:hAnsi="標楷體" w:hint="eastAsia"/>
          <w:sz w:val="28"/>
          <w:szCs w:val="28"/>
        </w:rPr>
        <w:t>本文附件連續編寫頁碼;歸檔案件難以裝訂者，應避免散落，並得放置於</w:t>
      </w:r>
      <w:proofErr w:type="gramStart"/>
      <w:r w:rsidR="00FB6148" w:rsidRPr="00FB6148">
        <w:rPr>
          <w:rFonts w:ascii="標楷體" w:eastAsia="標楷體" w:hAnsi="標楷體" w:hint="eastAsia"/>
          <w:sz w:val="28"/>
          <w:szCs w:val="28"/>
        </w:rPr>
        <w:t>固定箱盒</w:t>
      </w:r>
      <w:proofErr w:type="gramEnd"/>
      <w:r w:rsidR="00FB6148" w:rsidRPr="00FB6148">
        <w:rPr>
          <w:rFonts w:ascii="標楷體" w:eastAsia="標楷體" w:hAnsi="標楷體" w:hint="eastAsia"/>
          <w:sz w:val="28"/>
          <w:szCs w:val="28"/>
        </w:rPr>
        <w:t>或套袋；附件為書籍型式者，應於書籍封面適當位置註明文（編）號；如為抽存續辦或難以裝訂之附件，應於首頁或其外包裝適當處註明文（編）號。</w:t>
      </w:r>
    </w:p>
    <w:p w:rsidR="00FB6148" w:rsidRPr="00FB6148" w:rsidRDefault="00B26B42" w:rsidP="00032133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B6148" w:rsidRPr="00FB6148">
        <w:rPr>
          <w:rFonts w:ascii="標楷體" w:eastAsia="標楷體" w:hAnsi="標楷體" w:hint="eastAsia"/>
          <w:sz w:val="28"/>
          <w:szCs w:val="28"/>
        </w:rPr>
        <w:t>、</w:t>
      </w:r>
      <w:r w:rsidR="00032133">
        <w:rPr>
          <w:rFonts w:ascii="標楷體" w:eastAsia="標楷體" w:hAnsi="標楷體" w:hint="eastAsia"/>
          <w:sz w:val="28"/>
          <w:szCs w:val="28"/>
        </w:rPr>
        <w:t>節錄</w:t>
      </w:r>
      <w:r w:rsidR="00FB6148" w:rsidRPr="00FB6148">
        <w:rPr>
          <w:rFonts w:ascii="標楷體" w:eastAsia="標楷體" w:hAnsi="標楷體" w:hint="eastAsia"/>
          <w:sz w:val="28"/>
          <w:szCs w:val="28"/>
        </w:rPr>
        <w:t>文書處理手冊第伍章第三十一節第十一項</w:t>
      </w:r>
      <w:r w:rsidR="00032133">
        <w:rPr>
          <w:rFonts w:ascii="標楷體" w:eastAsia="標楷體" w:hAnsi="標楷體" w:hint="eastAsia"/>
          <w:sz w:val="28"/>
          <w:szCs w:val="28"/>
        </w:rPr>
        <w:t>辦法，</w:t>
      </w:r>
      <w:r w:rsidR="00FB6148" w:rsidRPr="00FB6148">
        <w:rPr>
          <w:rFonts w:ascii="標楷體" w:eastAsia="標楷體" w:hAnsi="標楷體" w:hint="eastAsia"/>
          <w:sz w:val="28"/>
          <w:szCs w:val="28"/>
        </w:rPr>
        <w:t>承辦人員</w:t>
      </w:r>
      <w:proofErr w:type="gramStart"/>
      <w:r w:rsidR="00FB6148" w:rsidRPr="00FB6148">
        <w:rPr>
          <w:rFonts w:ascii="標楷體" w:eastAsia="標楷體" w:hAnsi="標楷體" w:hint="eastAsia"/>
          <w:sz w:val="28"/>
          <w:szCs w:val="28"/>
        </w:rPr>
        <w:t>辦稿時</w:t>
      </w:r>
      <w:proofErr w:type="gramEnd"/>
      <w:r w:rsidR="00FB6148" w:rsidRPr="00FB6148">
        <w:rPr>
          <w:rFonts w:ascii="標楷體" w:eastAsia="標楷體" w:hAnsi="標楷體" w:hint="eastAsia"/>
          <w:sz w:val="28"/>
          <w:szCs w:val="28"/>
        </w:rPr>
        <w:t>，處理附件之注意事項：</w:t>
      </w:r>
    </w:p>
    <w:p w:rsidR="00FB6148" w:rsidRPr="00B26B42" w:rsidRDefault="00B26B42" w:rsidP="00B26B42">
      <w:pPr>
        <w:spacing w:line="0" w:lineRule="atLeas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B6148" w:rsidRPr="00B26B42">
        <w:rPr>
          <w:rFonts w:ascii="標楷體" w:eastAsia="標楷體" w:hAnsi="標楷體" w:hint="eastAsia"/>
          <w:sz w:val="28"/>
          <w:szCs w:val="28"/>
        </w:rPr>
        <w:t>附件請檢點</w:t>
      </w:r>
      <w:proofErr w:type="gramStart"/>
      <w:r w:rsidR="00FB6148" w:rsidRPr="00B26B42">
        <w:rPr>
          <w:rFonts w:ascii="標楷體" w:eastAsia="標楷體" w:hAnsi="標楷體" w:hint="eastAsia"/>
          <w:sz w:val="28"/>
          <w:szCs w:val="28"/>
        </w:rPr>
        <w:t>清楚，隨稿附</w:t>
      </w:r>
      <w:proofErr w:type="gramEnd"/>
      <w:r w:rsidR="00FB6148" w:rsidRPr="00B26B42">
        <w:rPr>
          <w:rFonts w:ascii="標楷體" w:eastAsia="標楷體" w:hAnsi="標楷體" w:hint="eastAsia"/>
          <w:sz w:val="28"/>
          <w:szCs w:val="28"/>
        </w:rPr>
        <w:t>送。</w:t>
      </w:r>
    </w:p>
    <w:p w:rsidR="00FB6148" w:rsidRPr="00FB6148" w:rsidRDefault="00FB6148" w:rsidP="00B26B42">
      <w:pPr>
        <w:spacing w:line="0" w:lineRule="atLeas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（二）附件有2種以上時，請分別標以附件1、附件2、…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……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。</w:t>
      </w:r>
    </w:p>
    <w:p w:rsidR="00FB6148" w:rsidRPr="00FB6148" w:rsidRDefault="00FB6148" w:rsidP="00B26B42">
      <w:pPr>
        <w:spacing w:line="0" w:lineRule="atLeas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（三）附件如係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隨文附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送，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辦稿時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，用「檢送」、「檢附」等字樣。</w:t>
      </w:r>
    </w:p>
    <w:p w:rsidR="00FB6148" w:rsidRPr="00FB6148" w:rsidRDefault="00FB6148" w:rsidP="00B26B42">
      <w:pPr>
        <w:spacing w:line="0" w:lineRule="atLeas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（四）如需以原本發出，而原本僅1份時，請註明：「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原本隨文發出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，抄本或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影本存卷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」。</w:t>
      </w:r>
    </w:p>
    <w:p w:rsidR="00FB6148" w:rsidRPr="00FB6148" w:rsidRDefault="00FB6148" w:rsidP="00B26B42">
      <w:pPr>
        <w:spacing w:line="0" w:lineRule="atLeas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（五）有時間性之公文，其附件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不及隨文送出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者，請註明「文先發，附件另送」，並與發文單位聯繫，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洽知發文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號碼，備於補送附件時註明。</w:t>
      </w:r>
    </w:p>
    <w:p w:rsidR="00FB6148" w:rsidRPr="00FB6148" w:rsidRDefault="00FB6148" w:rsidP="00B26B42">
      <w:pPr>
        <w:spacing w:line="0" w:lineRule="atLeas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FB6148">
        <w:rPr>
          <w:rFonts w:ascii="標楷體" w:eastAsia="標楷體" w:hAnsi="標楷體" w:hint="eastAsia"/>
          <w:sz w:val="28"/>
          <w:szCs w:val="28"/>
        </w:rPr>
        <w:t>（六）緊急事項請先以電話洽辦，</w:t>
      </w:r>
      <w:proofErr w:type="gramStart"/>
      <w:r w:rsidRPr="00FB6148">
        <w:rPr>
          <w:rFonts w:ascii="標楷體" w:eastAsia="標楷體" w:hAnsi="標楷體" w:hint="eastAsia"/>
          <w:sz w:val="28"/>
          <w:szCs w:val="28"/>
        </w:rPr>
        <w:t>隨即補具公文</w:t>
      </w:r>
      <w:proofErr w:type="gramEnd"/>
      <w:r w:rsidRPr="00FB6148">
        <w:rPr>
          <w:rFonts w:ascii="標楷體" w:eastAsia="標楷體" w:hAnsi="標楷體" w:hint="eastAsia"/>
          <w:sz w:val="28"/>
          <w:szCs w:val="28"/>
        </w:rPr>
        <w:t>。</w:t>
      </w:r>
    </w:p>
    <w:sectPr w:rsidR="00FB6148" w:rsidRPr="00FB6148" w:rsidSect="00581C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47" w:rsidRDefault="00F65647" w:rsidP="001C6A0E">
      <w:r>
        <w:separator/>
      </w:r>
    </w:p>
  </w:endnote>
  <w:endnote w:type="continuationSeparator" w:id="0">
    <w:p w:rsidR="00F65647" w:rsidRDefault="00F65647" w:rsidP="001C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47" w:rsidRDefault="00F65647" w:rsidP="001C6A0E">
      <w:r>
        <w:separator/>
      </w:r>
    </w:p>
  </w:footnote>
  <w:footnote w:type="continuationSeparator" w:id="0">
    <w:p w:rsidR="00F65647" w:rsidRDefault="00F65647" w:rsidP="001C6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9C6"/>
    <w:multiLevelType w:val="hybridMultilevel"/>
    <w:tmpl w:val="5C1E64C6"/>
    <w:lvl w:ilvl="0" w:tplc="08169C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148"/>
    <w:rsid w:val="00032133"/>
    <w:rsid w:val="00042ABE"/>
    <w:rsid w:val="00055EFE"/>
    <w:rsid w:val="001C6A0E"/>
    <w:rsid w:val="00581C38"/>
    <w:rsid w:val="00B26B42"/>
    <w:rsid w:val="00C626CF"/>
    <w:rsid w:val="00E4038F"/>
    <w:rsid w:val="00F65647"/>
    <w:rsid w:val="00FB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4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C6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6A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6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6A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2016-11-21T00:19:00Z</dcterms:created>
  <dcterms:modified xsi:type="dcterms:W3CDTF">2016-11-21T01:27:00Z</dcterms:modified>
</cp:coreProperties>
</file>