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83" w:lineRule="exact" w:before="0"/>
        <w:ind w:left="2152" w:right="0" w:firstLine="0"/>
        <w:jc w:val="left"/>
        <w:rPr>
          <w:rFonts w:ascii="標楷體" w:hAnsi="標楷體" w:cs="標楷體" w:eastAsia="標楷體"/>
          <w:sz w:val="40"/>
          <w:szCs w:val="40"/>
        </w:rPr>
      </w:pPr>
      <w:r>
        <w:rPr>
          <w:rFonts w:ascii="標楷體" w:hAnsi="標楷體" w:cs="標楷體" w:eastAsia="標楷體"/>
          <w:spacing w:val="-1"/>
          <w:sz w:val="40"/>
          <w:szCs w:val="40"/>
        </w:rPr>
        <w:t>大專校院弱勢學生助學計畫</w:t>
      </w:r>
    </w:p>
    <w:p>
      <w:pPr>
        <w:spacing w:before="352"/>
        <w:ind w:left="3426" w:right="0" w:firstLine="0"/>
        <w:jc w:val="left"/>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96</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8</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3</w:t>
      </w:r>
      <w:r>
        <w:rPr>
          <w:rFonts w:ascii="標楷體" w:hAnsi="標楷體" w:cs="標楷體" w:eastAsia="標楷體"/>
          <w:spacing w:val="-60"/>
          <w:sz w:val="24"/>
          <w:szCs w:val="24"/>
        </w:rPr>
        <w:t> </w:t>
      </w:r>
      <w:r>
        <w:rPr>
          <w:rFonts w:ascii="標楷體" w:hAnsi="標楷體" w:cs="標楷體" w:eastAsia="標楷體"/>
          <w:sz w:val="24"/>
          <w:szCs w:val="24"/>
        </w:rPr>
        <w:t>日台高（四）字第</w:t>
      </w:r>
      <w:r>
        <w:rPr>
          <w:rFonts w:ascii="標楷體" w:hAnsi="標楷體" w:cs="標楷體" w:eastAsia="標楷體"/>
          <w:spacing w:val="-60"/>
          <w:sz w:val="24"/>
          <w:szCs w:val="24"/>
        </w:rPr>
        <w:t> </w:t>
      </w:r>
      <w:r>
        <w:rPr>
          <w:rFonts w:ascii="標楷體" w:hAnsi="標楷體" w:cs="標楷體" w:eastAsia="標楷體"/>
          <w:sz w:val="24"/>
          <w:szCs w:val="24"/>
        </w:rPr>
        <w:t>0960119262</w:t>
      </w:r>
      <w:r>
        <w:rPr>
          <w:rFonts w:ascii="標楷體" w:hAnsi="標楷體" w:cs="標楷體" w:eastAsia="標楷體"/>
          <w:spacing w:val="-60"/>
          <w:sz w:val="24"/>
          <w:szCs w:val="24"/>
        </w:rPr>
        <w:t> </w:t>
      </w:r>
      <w:r>
        <w:rPr>
          <w:rFonts w:ascii="標楷體" w:hAnsi="標楷體" w:cs="標楷體" w:eastAsia="標楷體"/>
          <w:sz w:val="24"/>
          <w:szCs w:val="24"/>
        </w:rPr>
        <w:t>號函公布</w:t>
      </w:r>
    </w:p>
    <w:p>
      <w:pPr>
        <w:spacing w:before="84"/>
        <w:ind w:left="3286" w:right="80" w:firstLine="0"/>
        <w:jc w:val="center"/>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97</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6</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16</w:t>
      </w:r>
      <w:r>
        <w:rPr>
          <w:rFonts w:ascii="標楷體" w:hAnsi="標楷體" w:cs="標楷體" w:eastAsia="標楷體"/>
          <w:spacing w:val="-60"/>
          <w:sz w:val="24"/>
          <w:szCs w:val="24"/>
        </w:rPr>
        <w:t> </w:t>
      </w:r>
      <w:r>
        <w:rPr>
          <w:rFonts w:ascii="標楷體" w:hAnsi="標楷體" w:cs="標楷體" w:eastAsia="標楷體"/>
          <w:sz w:val="24"/>
          <w:szCs w:val="24"/>
        </w:rPr>
        <w:t>日台高（四）字第</w:t>
      </w:r>
      <w:r>
        <w:rPr>
          <w:rFonts w:ascii="標楷體" w:hAnsi="標楷體" w:cs="標楷體" w:eastAsia="標楷體"/>
          <w:spacing w:val="-60"/>
          <w:sz w:val="24"/>
          <w:szCs w:val="24"/>
        </w:rPr>
        <w:t> </w:t>
      </w:r>
      <w:r>
        <w:rPr>
          <w:rFonts w:ascii="標楷體" w:hAnsi="標楷體" w:cs="標楷體" w:eastAsia="標楷體"/>
          <w:sz w:val="24"/>
          <w:szCs w:val="24"/>
        </w:rPr>
        <w:t>0970101999</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6"/>
        <w:ind w:left="3886" w:right="80" w:firstLine="0"/>
        <w:jc w:val="center"/>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98</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3</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3</w:t>
      </w:r>
      <w:r>
        <w:rPr>
          <w:rFonts w:ascii="標楷體" w:hAnsi="標楷體" w:cs="標楷體" w:eastAsia="標楷體"/>
          <w:spacing w:val="-60"/>
          <w:sz w:val="24"/>
          <w:szCs w:val="24"/>
        </w:rPr>
        <w:t> </w:t>
      </w:r>
      <w:r>
        <w:rPr>
          <w:rFonts w:ascii="標楷體" w:hAnsi="標楷體" w:cs="標楷體" w:eastAsia="標楷體"/>
          <w:sz w:val="24"/>
          <w:szCs w:val="24"/>
        </w:rPr>
        <w:t>日台高通字第</w:t>
      </w:r>
      <w:r>
        <w:rPr>
          <w:rFonts w:ascii="標楷體" w:hAnsi="標楷體" w:cs="標楷體" w:eastAsia="標楷體"/>
          <w:spacing w:val="-60"/>
          <w:sz w:val="24"/>
          <w:szCs w:val="24"/>
        </w:rPr>
        <w:t> </w:t>
      </w:r>
      <w:r>
        <w:rPr>
          <w:rFonts w:ascii="標楷體" w:hAnsi="標楷體" w:cs="標楷體" w:eastAsia="標楷體"/>
          <w:sz w:val="24"/>
          <w:szCs w:val="24"/>
        </w:rPr>
        <w:t>0980033473</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6"/>
        <w:ind w:left="3766" w:right="80" w:firstLine="0"/>
        <w:jc w:val="center"/>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100</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8</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1</w:t>
      </w:r>
      <w:r>
        <w:rPr>
          <w:rFonts w:ascii="標楷體" w:hAnsi="標楷體" w:cs="標楷體" w:eastAsia="標楷體"/>
          <w:spacing w:val="-60"/>
          <w:sz w:val="24"/>
          <w:szCs w:val="24"/>
        </w:rPr>
        <w:t> </w:t>
      </w:r>
      <w:r>
        <w:rPr>
          <w:rFonts w:ascii="標楷體" w:hAnsi="標楷體" w:cs="標楷體" w:eastAsia="標楷體"/>
          <w:sz w:val="24"/>
          <w:szCs w:val="24"/>
        </w:rPr>
        <w:t>日臺高通字第</w:t>
      </w:r>
      <w:r>
        <w:rPr>
          <w:rFonts w:ascii="標楷體" w:hAnsi="標楷體" w:cs="標楷體" w:eastAsia="標楷體"/>
          <w:spacing w:val="-60"/>
          <w:sz w:val="24"/>
          <w:szCs w:val="24"/>
        </w:rPr>
        <w:t> </w:t>
      </w:r>
      <w:r>
        <w:rPr>
          <w:rFonts w:ascii="標楷體" w:hAnsi="標楷體" w:cs="標楷體" w:eastAsia="標楷體"/>
          <w:sz w:val="24"/>
          <w:szCs w:val="24"/>
        </w:rPr>
        <w:t>1000129572</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4"/>
        <w:ind w:left="3646" w:right="80" w:firstLine="0"/>
        <w:jc w:val="center"/>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101</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9</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18</w:t>
      </w:r>
      <w:r>
        <w:rPr>
          <w:rFonts w:ascii="標楷體" w:hAnsi="標楷體" w:cs="標楷體" w:eastAsia="標楷體"/>
          <w:spacing w:val="-60"/>
          <w:sz w:val="24"/>
          <w:szCs w:val="24"/>
        </w:rPr>
        <w:t> </w:t>
      </w:r>
      <w:r>
        <w:rPr>
          <w:rFonts w:ascii="標楷體" w:hAnsi="標楷體" w:cs="標楷體" w:eastAsia="標楷體"/>
          <w:sz w:val="24"/>
          <w:szCs w:val="24"/>
        </w:rPr>
        <w:t>日臺高通字第</w:t>
      </w:r>
      <w:r>
        <w:rPr>
          <w:rFonts w:ascii="標楷體" w:hAnsi="標楷體" w:cs="標楷體" w:eastAsia="標楷體"/>
          <w:spacing w:val="-60"/>
          <w:sz w:val="24"/>
          <w:szCs w:val="24"/>
        </w:rPr>
        <w:t> </w:t>
      </w:r>
      <w:r>
        <w:rPr>
          <w:rFonts w:ascii="標楷體" w:hAnsi="標楷體" w:cs="標楷體" w:eastAsia="標楷體"/>
          <w:sz w:val="24"/>
          <w:szCs w:val="24"/>
        </w:rPr>
        <w:t>1010150509</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6"/>
        <w:ind w:left="3646" w:right="80" w:firstLine="0"/>
        <w:jc w:val="center"/>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102</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9</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16</w:t>
      </w:r>
      <w:r>
        <w:rPr>
          <w:rFonts w:ascii="標楷體" w:hAnsi="標楷體" w:cs="標楷體" w:eastAsia="標楷體"/>
          <w:spacing w:val="-60"/>
          <w:sz w:val="24"/>
          <w:szCs w:val="24"/>
        </w:rPr>
        <w:t> </w:t>
      </w:r>
      <w:r>
        <w:rPr>
          <w:rFonts w:ascii="標楷體" w:hAnsi="標楷體" w:cs="標楷體" w:eastAsia="標楷體"/>
          <w:sz w:val="24"/>
          <w:szCs w:val="24"/>
        </w:rPr>
        <w:t>日臺高通字第</w:t>
      </w:r>
      <w:r>
        <w:rPr>
          <w:rFonts w:ascii="標楷體" w:hAnsi="標楷體" w:cs="標楷體" w:eastAsia="標楷體"/>
          <w:spacing w:val="-60"/>
          <w:sz w:val="24"/>
          <w:szCs w:val="24"/>
        </w:rPr>
        <w:t> </w:t>
      </w:r>
      <w:r>
        <w:rPr>
          <w:rFonts w:ascii="標楷體" w:hAnsi="標楷體" w:cs="標楷體" w:eastAsia="標楷體"/>
          <w:sz w:val="24"/>
          <w:szCs w:val="24"/>
        </w:rPr>
        <w:t>1020135194</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6"/>
        <w:ind w:left="3646" w:right="80" w:firstLine="0"/>
        <w:jc w:val="center"/>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103</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7</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28</w:t>
      </w:r>
      <w:r>
        <w:rPr>
          <w:rFonts w:ascii="標楷體" w:hAnsi="標楷體" w:cs="標楷體" w:eastAsia="標楷體"/>
          <w:spacing w:val="-60"/>
          <w:sz w:val="24"/>
          <w:szCs w:val="24"/>
        </w:rPr>
        <w:t> </w:t>
      </w:r>
      <w:r>
        <w:rPr>
          <w:rFonts w:ascii="標楷體" w:hAnsi="標楷體" w:cs="標楷體" w:eastAsia="標楷體"/>
          <w:sz w:val="24"/>
          <w:szCs w:val="24"/>
        </w:rPr>
        <w:t>日臺高通字第</w:t>
      </w:r>
      <w:r>
        <w:rPr>
          <w:rFonts w:ascii="標楷體" w:hAnsi="標楷體" w:cs="標楷體" w:eastAsia="標楷體"/>
          <w:spacing w:val="-60"/>
          <w:sz w:val="24"/>
          <w:szCs w:val="24"/>
        </w:rPr>
        <w:t> </w:t>
      </w:r>
      <w:r>
        <w:rPr>
          <w:rFonts w:ascii="標楷體" w:hAnsi="標楷體" w:cs="標楷體" w:eastAsia="標楷體"/>
          <w:sz w:val="24"/>
          <w:szCs w:val="24"/>
        </w:rPr>
        <w:t>1030095740</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4"/>
        <w:ind w:left="3426" w:right="0" w:firstLine="0"/>
        <w:jc w:val="left"/>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104</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7</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24</w:t>
      </w:r>
      <w:r>
        <w:rPr>
          <w:rFonts w:ascii="標楷體" w:hAnsi="標楷體" w:cs="標楷體" w:eastAsia="標楷體"/>
          <w:spacing w:val="-60"/>
          <w:sz w:val="24"/>
          <w:szCs w:val="24"/>
        </w:rPr>
        <w:t> </w:t>
      </w:r>
      <w:r>
        <w:rPr>
          <w:rFonts w:ascii="標楷體" w:hAnsi="標楷體" w:cs="標楷體" w:eastAsia="標楷體"/>
          <w:sz w:val="24"/>
          <w:szCs w:val="24"/>
        </w:rPr>
        <w:t>日臺教高通字第</w:t>
      </w:r>
      <w:r>
        <w:rPr>
          <w:rFonts w:ascii="標楷體" w:hAnsi="標楷體" w:cs="標楷體" w:eastAsia="標楷體"/>
          <w:spacing w:val="-60"/>
          <w:sz w:val="24"/>
          <w:szCs w:val="24"/>
        </w:rPr>
        <w:t> </w:t>
      </w:r>
      <w:r>
        <w:rPr>
          <w:rFonts w:ascii="標楷體" w:hAnsi="標楷體" w:cs="標楷體" w:eastAsia="標楷體"/>
          <w:sz w:val="24"/>
          <w:szCs w:val="24"/>
        </w:rPr>
        <w:t>1040096833</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before="86"/>
        <w:ind w:left="719" w:right="0" w:firstLine="2707"/>
        <w:jc w:val="left"/>
        <w:rPr>
          <w:rFonts w:ascii="標楷體" w:hAnsi="標楷體" w:cs="標楷體" w:eastAsia="標楷體"/>
          <w:sz w:val="24"/>
          <w:szCs w:val="24"/>
        </w:rPr>
      </w:pPr>
      <w:r>
        <w:rPr>
          <w:rFonts w:ascii="標楷體" w:hAnsi="標楷體" w:cs="標楷體" w:eastAsia="標楷體"/>
          <w:sz w:val="24"/>
          <w:szCs w:val="24"/>
        </w:rPr>
        <w:t>本部</w:t>
      </w:r>
      <w:r>
        <w:rPr>
          <w:rFonts w:ascii="標楷體" w:hAnsi="標楷體" w:cs="標楷體" w:eastAsia="標楷體"/>
          <w:spacing w:val="-60"/>
          <w:sz w:val="24"/>
          <w:szCs w:val="24"/>
        </w:rPr>
        <w:t> </w:t>
      </w:r>
      <w:r>
        <w:rPr>
          <w:rFonts w:ascii="標楷體" w:hAnsi="標楷體" w:cs="標楷體" w:eastAsia="標楷體"/>
          <w:sz w:val="24"/>
          <w:szCs w:val="24"/>
        </w:rPr>
        <w:t>105</w:t>
      </w:r>
      <w:r>
        <w:rPr>
          <w:rFonts w:ascii="標楷體" w:hAnsi="標楷體" w:cs="標楷體" w:eastAsia="標楷體"/>
          <w:spacing w:val="-60"/>
          <w:sz w:val="24"/>
          <w:szCs w:val="24"/>
        </w:rPr>
        <w:t> </w:t>
      </w:r>
      <w:r>
        <w:rPr>
          <w:rFonts w:ascii="標楷體" w:hAnsi="標楷體" w:cs="標楷體" w:eastAsia="標楷體"/>
          <w:sz w:val="24"/>
          <w:szCs w:val="24"/>
        </w:rPr>
        <w:t>年</w:t>
      </w:r>
      <w:r>
        <w:rPr>
          <w:rFonts w:ascii="標楷體" w:hAnsi="標楷體" w:cs="標楷體" w:eastAsia="標楷體"/>
          <w:spacing w:val="-60"/>
          <w:sz w:val="24"/>
          <w:szCs w:val="24"/>
        </w:rPr>
        <w:t> </w:t>
      </w:r>
      <w:r>
        <w:rPr>
          <w:rFonts w:ascii="標楷體" w:hAnsi="標楷體" w:cs="標楷體" w:eastAsia="標楷體"/>
          <w:sz w:val="24"/>
          <w:szCs w:val="24"/>
        </w:rPr>
        <w:t>6</w:t>
      </w:r>
      <w:r>
        <w:rPr>
          <w:rFonts w:ascii="標楷體" w:hAnsi="標楷體" w:cs="標楷體" w:eastAsia="標楷體"/>
          <w:spacing w:val="-60"/>
          <w:sz w:val="24"/>
          <w:szCs w:val="24"/>
        </w:rPr>
        <w:t> </w:t>
      </w:r>
      <w:r>
        <w:rPr>
          <w:rFonts w:ascii="標楷體" w:hAnsi="標楷體" w:cs="標楷體" w:eastAsia="標楷體"/>
          <w:sz w:val="24"/>
          <w:szCs w:val="24"/>
        </w:rPr>
        <w:t>月</w:t>
      </w:r>
      <w:r>
        <w:rPr>
          <w:rFonts w:ascii="標楷體" w:hAnsi="標楷體" w:cs="標楷體" w:eastAsia="標楷體"/>
          <w:spacing w:val="-60"/>
          <w:sz w:val="24"/>
          <w:szCs w:val="24"/>
        </w:rPr>
        <w:t> </w:t>
      </w:r>
      <w:r>
        <w:rPr>
          <w:rFonts w:ascii="標楷體" w:hAnsi="標楷體" w:cs="標楷體" w:eastAsia="標楷體"/>
          <w:sz w:val="24"/>
          <w:szCs w:val="24"/>
        </w:rPr>
        <w:t>22</w:t>
      </w:r>
      <w:r>
        <w:rPr>
          <w:rFonts w:ascii="標楷體" w:hAnsi="標楷體" w:cs="標楷體" w:eastAsia="標楷體"/>
          <w:spacing w:val="-60"/>
          <w:sz w:val="24"/>
          <w:szCs w:val="24"/>
        </w:rPr>
        <w:t> </w:t>
      </w:r>
      <w:r>
        <w:rPr>
          <w:rFonts w:ascii="標楷體" w:hAnsi="標楷體" w:cs="標楷體" w:eastAsia="標楷體"/>
          <w:sz w:val="24"/>
          <w:szCs w:val="24"/>
        </w:rPr>
        <w:t>日臺教高通字第</w:t>
      </w:r>
      <w:r>
        <w:rPr>
          <w:rFonts w:ascii="標楷體" w:hAnsi="標楷體" w:cs="標楷體" w:eastAsia="標楷體"/>
          <w:spacing w:val="-60"/>
          <w:sz w:val="24"/>
          <w:szCs w:val="24"/>
        </w:rPr>
        <w:t> </w:t>
      </w:r>
      <w:r>
        <w:rPr>
          <w:rFonts w:ascii="標楷體" w:hAnsi="標楷體" w:cs="標楷體" w:eastAsia="標楷體"/>
          <w:sz w:val="24"/>
          <w:szCs w:val="24"/>
        </w:rPr>
        <w:t>1050074270</w:t>
      </w:r>
      <w:r>
        <w:rPr>
          <w:rFonts w:ascii="標楷體" w:hAnsi="標楷體" w:cs="標楷體" w:eastAsia="標楷體"/>
          <w:spacing w:val="-60"/>
          <w:sz w:val="24"/>
          <w:szCs w:val="24"/>
        </w:rPr>
        <w:t> </w:t>
      </w:r>
      <w:r>
        <w:rPr>
          <w:rFonts w:ascii="標楷體" w:hAnsi="標楷體" w:cs="標楷體" w:eastAsia="標楷體"/>
          <w:sz w:val="24"/>
          <w:szCs w:val="24"/>
        </w:rPr>
        <w:t>號函修正</w:t>
      </w:r>
    </w:p>
    <w:p>
      <w:pPr>
        <w:spacing w:line="240" w:lineRule="auto" w:before="9"/>
        <w:rPr>
          <w:rFonts w:ascii="標楷體" w:hAnsi="標楷體" w:cs="標楷體" w:eastAsia="標楷體"/>
          <w:sz w:val="24"/>
          <w:szCs w:val="24"/>
        </w:rPr>
      </w:pPr>
    </w:p>
    <w:p>
      <w:pPr>
        <w:pStyle w:val="BodyText"/>
        <w:spacing w:line="261" w:lineRule="auto" w:before="0"/>
        <w:ind w:left="159" w:right="98" w:firstLine="559"/>
        <w:jc w:val="both"/>
      </w:pPr>
      <w:r>
        <w:rPr/>
        <w:t>為進一</w:t>
      </w:r>
      <w:r>
        <w:rPr>
          <w:spacing w:val="-3"/>
        </w:rPr>
        <w:t>步</w:t>
      </w:r>
      <w:r>
        <w:rPr/>
        <w:t>協助</w:t>
      </w:r>
      <w:r>
        <w:rPr>
          <w:spacing w:val="-3"/>
        </w:rPr>
        <w:t>弱勢</w:t>
      </w:r>
      <w:r>
        <w:rPr/>
        <w:t>學生順</w:t>
      </w:r>
      <w:r>
        <w:rPr>
          <w:spacing w:val="-3"/>
        </w:rPr>
        <w:t>利</w:t>
      </w:r>
      <w:r>
        <w:rPr/>
        <w:t>就</w:t>
      </w:r>
      <w:r>
        <w:rPr>
          <w:spacing w:val="-25"/>
        </w:rPr>
        <w:t>學</w:t>
      </w:r>
      <w:r>
        <w:rPr>
          <w:spacing w:val="-22"/>
        </w:rPr>
        <w:t>，</w:t>
      </w:r>
      <w:r>
        <w:rPr>
          <w:spacing w:val="-3"/>
        </w:rPr>
        <w:t>讓</w:t>
      </w:r>
      <w:r>
        <w:rPr/>
        <w:t>家庭年</w:t>
      </w:r>
      <w:r>
        <w:rPr>
          <w:spacing w:val="-3"/>
        </w:rPr>
        <w:t>所</w:t>
      </w:r>
      <w:r>
        <w:rPr/>
        <w:t>得約在後</w:t>
      </w:r>
      <w:r>
        <w:rPr>
          <w:spacing w:val="-71"/>
        </w:rPr>
        <w:t> </w:t>
      </w:r>
      <w:r>
        <w:rPr>
          <w:rFonts w:ascii="標楷體" w:hAnsi="標楷體" w:cs="標楷體" w:eastAsia="標楷體"/>
          <w:spacing w:val="-4"/>
        </w:rPr>
        <w:t>4</w:t>
      </w:r>
      <w:r>
        <w:rPr>
          <w:rFonts w:ascii="標楷體" w:hAnsi="標楷體" w:cs="標楷體" w:eastAsia="標楷體"/>
          <w:spacing w:val="-2"/>
        </w:rPr>
        <w:t>0</w:t>
      </w:r>
      <w:r>
        <w:rPr/>
        <w:t>％的大專</w:t>
      </w:r>
      <w:r>
        <w:rPr>
          <w:spacing w:val="-3"/>
        </w:rPr>
        <w:t>校</w:t>
      </w:r>
      <w:r>
        <w:rPr/>
        <w:t>院</w:t>
      </w:r>
      <w:r>
        <w:rPr/>
        <w:t> 學生均能獲得政府或學校的就學補助，本部於既有之經費基礎上調整分配， 將原來對私校的獎補助經費提撥部分額度改為直接補助學生學雜費用，並配 合以往各校辦理公私立大專校院共同助學措施的經費，訂立本計畫。實施措 施包含助學金、生活助學金、緊急紓困助學金及住宿優惠等四項，其整體規 </w:t>
      </w:r>
      <w:r>
        <w:rPr>
          <w:spacing w:val="-1"/>
        </w:rPr>
        <w:t>劃內容如下：</w:t>
      </w:r>
    </w:p>
    <w:p>
      <w:pPr>
        <w:spacing w:line="240" w:lineRule="auto" w:before="13"/>
        <w:rPr>
          <w:rFonts w:ascii="標楷體" w:hAnsi="標楷體" w:cs="標楷體" w:eastAsia="標楷體"/>
          <w:sz w:val="21"/>
          <w:szCs w:val="21"/>
        </w:rPr>
      </w:pPr>
    </w:p>
    <w:p>
      <w:pPr>
        <w:pStyle w:val="BodyText"/>
        <w:spacing w:line="240" w:lineRule="auto" w:before="0"/>
        <w:ind w:left="162" w:right="0"/>
        <w:jc w:val="left"/>
      </w:pPr>
      <w:r>
        <w:rPr/>
        <w:t>表</w:t>
      </w:r>
      <w:r>
        <w:rPr>
          <w:spacing w:val="-1"/>
        </w:rPr>
        <w:t> 大專校院弱勢學生助學計畫項目</w:t>
      </w:r>
    </w:p>
    <w:p>
      <w:pPr>
        <w:spacing w:line="240" w:lineRule="auto" w:before="2"/>
        <w:rPr>
          <w:rFonts w:ascii="標楷體" w:hAnsi="標楷體" w:cs="標楷體" w:eastAsia="標楷體"/>
          <w:sz w:val="23"/>
          <w:szCs w:val="23"/>
        </w:rPr>
      </w:pPr>
    </w:p>
    <w:tbl>
      <w:tblPr>
        <w:tblW w:w="0" w:type="auto"/>
        <w:jc w:val="left"/>
        <w:tblInd w:w="101" w:type="dxa"/>
        <w:tblLayout w:type="fixed"/>
        <w:tblCellMar>
          <w:top w:w="0" w:type="dxa"/>
          <w:left w:w="0" w:type="dxa"/>
          <w:bottom w:w="0" w:type="dxa"/>
          <w:right w:w="0" w:type="dxa"/>
        </w:tblCellMar>
        <w:tblLook w:val="01E0"/>
      </w:tblPr>
      <w:tblGrid>
        <w:gridCol w:w="1963"/>
        <w:gridCol w:w="7248"/>
      </w:tblGrid>
      <w:tr>
        <w:trPr>
          <w:trHeight w:val="377" w:hRule="exact"/>
        </w:trPr>
        <w:tc>
          <w:tcPr>
            <w:tcW w:w="1963" w:type="dxa"/>
            <w:tcBorders>
              <w:top w:val="single" w:sz="5" w:space="0" w:color="000000"/>
              <w:left w:val="single" w:sz="5" w:space="0" w:color="000000"/>
              <w:bottom w:val="single" w:sz="5" w:space="0" w:color="000000"/>
              <w:right w:val="single" w:sz="5" w:space="0" w:color="000000"/>
            </w:tcBorders>
          </w:tcPr>
          <w:p>
            <w:pPr>
              <w:pStyle w:val="TableParagraph"/>
              <w:spacing w:line="297" w:lineRule="exact"/>
              <w:ind w:right="2"/>
              <w:jc w:val="center"/>
              <w:rPr>
                <w:rFonts w:ascii="標楷體" w:hAnsi="標楷體" w:cs="標楷體" w:eastAsia="標楷體"/>
                <w:sz w:val="28"/>
                <w:szCs w:val="28"/>
              </w:rPr>
            </w:pPr>
            <w:r>
              <w:rPr>
                <w:rFonts w:ascii="標楷體" w:hAnsi="標楷體" w:cs="標楷體" w:eastAsia="標楷體"/>
                <w:sz w:val="28"/>
                <w:szCs w:val="28"/>
              </w:rPr>
              <w:t>措施</w:t>
            </w:r>
          </w:p>
        </w:tc>
        <w:tc>
          <w:tcPr>
            <w:tcW w:w="7248" w:type="dxa"/>
            <w:tcBorders>
              <w:top w:val="single" w:sz="5" w:space="0" w:color="000000"/>
              <w:left w:val="single" w:sz="5" w:space="0" w:color="000000"/>
              <w:bottom w:val="single" w:sz="5" w:space="0" w:color="000000"/>
              <w:right w:val="single" w:sz="5" w:space="0" w:color="000000"/>
            </w:tcBorders>
          </w:tcPr>
          <w:p>
            <w:pPr>
              <w:pStyle w:val="TableParagraph"/>
              <w:spacing w:line="297" w:lineRule="exact"/>
              <w:ind w:right="0"/>
              <w:jc w:val="center"/>
              <w:rPr>
                <w:rFonts w:ascii="標楷體" w:hAnsi="標楷體" w:cs="標楷體" w:eastAsia="標楷體"/>
                <w:sz w:val="28"/>
                <w:szCs w:val="28"/>
              </w:rPr>
            </w:pPr>
            <w:r>
              <w:rPr>
                <w:rFonts w:ascii="標楷體" w:hAnsi="標楷體" w:cs="標楷體" w:eastAsia="標楷體"/>
                <w:sz w:val="28"/>
                <w:szCs w:val="28"/>
              </w:rPr>
              <w:t>內容</w:t>
            </w:r>
          </w:p>
        </w:tc>
      </w:tr>
      <w:tr>
        <w:trPr>
          <w:trHeight w:val="811" w:hRule="exact"/>
        </w:trPr>
        <w:tc>
          <w:tcPr>
            <w:tcW w:w="1963"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09"/>
              <w:ind w:left="553" w:right="0"/>
              <w:jc w:val="left"/>
              <w:rPr>
                <w:rFonts w:ascii="標楷體" w:hAnsi="標楷體" w:cs="標楷體" w:eastAsia="標楷體"/>
                <w:sz w:val="28"/>
                <w:szCs w:val="28"/>
              </w:rPr>
            </w:pPr>
            <w:r>
              <w:rPr>
                <w:rFonts w:ascii="標楷體" w:hAnsi="標楷體" w:cs="標楷體" w:eastAsia="標楷體"/>
                <w:sz w:val="28"/>
                <w:szCs w:val="28"/>
              </w:rPr>
              <w:t>助學金</w:t>
            </w:r>
          </w:p>
        </w:tc>
        <w:tc>
          <w:tcPr>
            <w:tcW w:w="724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10"/>
              <w:ind w:left="102" w:right="0"/>
              <w:jc w:val="left"/>
              <w:rPr>
                <w:rFonts w:ascii="標楷體" w:hAnsi="標楷體" w:cs="標楷體" w:eastAsia="標楷體"/>
                <w:sz w:val="28"/>
                <w:szCs w:val="28"/>
              </w:rPr>
            </w:pPr>
            <w:r>
              <w:rPr>
                <w:rFonts w:ascii="標楷體" w:hAnsi="標楷體" w:cs="標楷體" w:eastAsia="標楷體"/>
                <w:sz w:val="28"/>
                <w:szCs w:val="28"/>
              </w:rPr>
              <w:t>補助級距分為</w:t>
            </w:r>
            <w:r>
              <w:rPr>
                <w:rFonts w:ascii="標楷體" w:hAnsi="標楷體" w:cs="標楷體" w:eastAsia="標楷體"/>
                <w:spacing w:val="1"/>
                <w:sz w:val="28"/>
                <w:szCs w:val="28"/>
              </w:rPr>
              <w:t> </w:t>
            </w:r>
            <w:r>
              <w:rPr>
                <w:rFonts w:ascii="標楷體" w:hAnsi="標楷體" w:cs="標楷體" w:eastAsia="標楷體"/>
                <w:sz w:val="28"/>
                <w:szCs w:val="28"/>
              </w:rPr>
              <w:t>5 </w:t>
            </w:r>
            <w:r>
              <w:rPr>
                <w:rFonts w:ascii="標楷體" w:hAnsi="標楷體" w:cs="標楷體" w:eastAsia="標楷體"/>
                <w:sz w:val="28"/>
                <w:szCs w:val="28"/>
              </w:rPr>
              <w:t>級，補助金額為</w:t>
            </w:r>
            <w:r>
              <w:rPr>
                <w:rFonts w:ascii="標楷體" w:hAnsi="標楷體" w:cs="標楷體" w:eastAsia="標楷體"/>
                <w:color w:val="FF0000"/>
                <w:sz w:val="28"/>
                <w:szCs w:val="28"/>
              </w:rPr>
            </w:r>
            <w:r>
              <w:rPr>
                <w:rFonts w:ascii="標楷體" w:hAnsi="標楷體" w:cs="標楷體" w:eastAsia="標楷體"/>
                <w:color w:val="FF0000"/>
                <w:sz w:val="28"/>
                <w:szCs w:val="28"/>
                <w:u w:val="single" w:color="FF0000"/>
              </w:rPr>
              <w:t>新臺幣</w:t>
            </w:r>
            <w:r>
              <w:rPr>
                <w:rFonts w:ascii="標楷體" w:hAnsi="標楷體" w:cs="標楷體" w:eastAsia="標楷體"/>
                <w:color w:val="FF0000"/>
                <w:sz w:val="28"/>
                <w:szCs w:val="28"/>
                <w:u w:val="single" w:color="FF0000"/>
              </w:rPr>
              <w:t>(</w:t>
            </w:r>
            <w:r>
              <w:rPr>
                <w:rFonts w:ascii="標楷體" w:hAnsi="標楷體" w:cs="標楷體" w:eastAsia="標楷體"/>
                <w:color w:val="FF0000"/>
                <w:sz w:val="28"/>
                <w:szCs w:val="28"/>
                <w:u w:val="single" w:color="FF0000"/>
              </w:rPr>
              <w:t>以下同</w:t>
            </w:r>
            <w:r>
              <w:rPr>
                <w:rFonts w:ascii="標楷體" w:hAnsi="標楷體" w:cs="標楷體" w:eastAsia="標楷體"/>
                <w:color w:val="FF0000"/>
                <w:sz w:val="28"/>
                <w:szCs w:val="28"/>
                <w:u w:val="single" w:color="FF0000"/>
              </w:rPr>
              <w:t>)</w:t>
            </w:r>
            <w:r>
              <w:rPr>
                <w:rFonts w:ascii="標楷體" w:hAnsi="標楷體" w:cs="標楷體" w:eastAsia="標楷體"/>
                <w:color w:val="FF0000"/>
                <w:sz w:val="28"/>
                <w:szCs w:val="28"/>
              </w:rPr>
            </w:r>
            <w:r>
              <w:rPr>
                <w:rFonts w:ascii="標楷體" w:hAnsi="標楷體" w:cs="標楷體" w:eastAsia="標楷體"/>
                <w:sz w:val="28"/>
                <w:szCs w:val="28"/>
              </w:rPr>
              <w:t>5,000</w:t>
            </w:r>
            <w:r>
              <w:rPr>
                <w:rFonts w:ascii="標楷體" w:hAnsi="標楷體" w:cs="標楷體" w:eastAsia="標楷體"/>
                <w:sz w:val="28"/>
                <w:szCs w:val="28"/>
              </w:rPr>
              <w:t>～</w:t>
            </w:r>
          </w:p>
          <w:p>
            <w:pPr>
              <w:pStyle w:val="TableParagraph"/>
              <w:spacing w:line="240" w:lineRule="auto" w:before="32"/>
              <w:ind w:left="102" w:right="0"/>
              <w:jc w:val="left"/>
              <w:rPr>
                <w:rFonts w:ascii="標楷體" w:hAnsi="標楷體" w:cs="標楷體" w:eastAsia="標楷體"/>
                <w:sz w:val="28"/>
                <w:szCs w:val="28"/>
              </w:rPr>
            </w:pPr>
            <w:r>
              <w:rPr>
                <w:rFonts w:ascii="標楷體" w:hAnsi="標楷體" w:cs="標楷體" w:eastAsia="標楷體"/>
                <w:spacing w:val="-1"/>
                <w:sz w:val="28"/>
                <w:szCs w:val="28"/>
              </w:rPr>
              <w:t>35,000</w:t>
            </w:r>
            <w:r>
              <w:rPr>
                <w:rFonts w:ascii="標楷體" w:hAnsi="標楷體" w:cs="標楷體" w:eastAsia="標楷體"/>
                <w:spacing w:val="-72"/>
                <w:sz w:val="28"/>
                <w:szCs w:val="28"/>
              </w:rPr>
              <w:t> </w:t>
            </w:r>
            <w:r>
              <w:rPr>
                <w:rFonts w:ascii="標楷體" w:hAnsi="標楷體" w:cs="標楷體" w:eastAsia="標楷體"/>
                <w:spacing w:val="-1"/>
                <w:sz w:val="28"/>
                <w:szCs w:val="28"/>
              </w:rPr>
              <w:t>元，減輕其籌措學費負擔。</w:t>
            </w:r>
          </w:p>
        </w:tc>
      </w:tr>
      <w:tr>
        <w:trPr>
          <w:trHeight w:val="440" w:hRule="exact"/>
        </w:trPr>
        <w:tc>
          <w:tcPr>
            <w:tcW w:w="1963" w:type="dxa"/>
            <w:vMerge w:val="restart"/>
            <w:tcBorders>
              <w:top w:val="single" w:sz="5" w:space="0" w:color="000000"/>
              <w:left w:val="single" w:sz="5" w:space="0" w:color="000000"/>
              <w:right w:val="single" w:sz="5" w:space="0" w:color="000000"/>
            </w:tcBorders>
          </w:tcPr>
          <w:p>
            <w:pPr>
              <w:pStyle w:val="TableParagraph"/>
              <w:spacing w:line="240" w:lineRule="auto"/>
              <w:ind w:right="0"/>
              <w:jc w:val="left"/>
              <w:rPr>
                <w:rFonts w:ascii="標楷體" w:hAnsi="標楷體" w:cs="標楷體" w:eastAsia="標楷體"/>
                <w:sz w:val="28"/>
                <w:szCs w:val="28"/>
              </w:rPr>
            </w:pPr>
          </w:p>
          <w:p>
            <w:pPr>
              <w:pStyle w:val="TableParagraph"/>
              <w:spacing w:line="240" w:lineRule="auto"/>
              <w:ind w:right="0"/>
              <w:jc w:val="left"/>
              <w:rPr>
                <w:rFonts w:ascii="標楷體" w:hAnsi="標楷體" w:cs="標楷體" w:eastAsia="標楷體"/>
                <w:sz w:val="28"/>
                <w:szCs w:val="28"/>
              </w:rPr>
            </w:pPr>
          </w:p>
          <w:p>
            <w:pPr>
              <w:pStyle w:val="TableParagraph"/>
              <w:spacing w:line="240" w:lineRule="auto" w:before="4"/>
              <w:ind w:right="0"/>
              <w:jc w:val="left"/>
              <w:rPr>
                <w:rFonts w:ascii="標楷體" w:hAnsi="標楷體" w:cs="標楷體" w:eastAsia="標楷體"/>
                <w:sz w:val="36"/>
                <w:szCs w:val="36"/>
              </w:rPr>
            </w:pPr>
          </w:p>
          <w:p>
            <w:pPr>
              <w:pStyle w:val="TableParagraph"/>
              <w:spacing w:line="240" w:lineRule="auto"/>
              <w:ind w:left="272" w:right="0"/>
              <w:jc w:val="left"/>
              <w:rPr>
                <w:rFonts w:ascii="標楷體" w:hAnsi="標楷體" w:cs="標楷體" w:eastAsia="標楷體"/>
                <w:sz w:val="28"/>
                <w:szCs w:val="28"/>
              </w:rPr>
            </w:pPr>
            <w:r>
              <w:rPr>
                <w:rFonts w:ascii="標楷體" w:hAnsi="標楷體" w:cs="標楷體" w:eastAsia="標楷體"/>
                <w:spacing w:val="-1"/>
                <w:sz w:val="28"/>
                <w:szCs w:val="28"/>
              </w:rPr>
              <w:t>生活助學金</w:t>
            </w:r>
          </w:p>
        </w:tc>
        <w:tc>
          <w:tcPr>
            <w:tcW w:w="7248" w:type="dxa"/>
            <w:tcBorders>
              <w:top w:val="single" w:sz="5" w:space="0" w:color="000000"/>
              <w:left w:val="single" w:sz="5" w:space="0" w:color="000000"/>
              <w:bottom w:val="nil" w:sz="6" w:space="0" w:color="auto"/>
              <w:right w:val="single" w:sz="5" w:space="0" w:color="000000"/>
            </w:tcBorders>
          </w:tcPr>
          <w:p>
            <w:pPr>
              <w:pStyle w:val="TableParagraph"/>
              <w:spacing w:line="240" w:lineRule="auto" w:before="7"/>
              <w:ind w:left="10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z w:val="28"/>
                <w:szCs w:val="28"/>
                <w:u w:val="single" w:color="FF0000"/>
              </w:rPr>
              <w:t>為提供經濟弱勢學生每月生活所需費用，參酌全額獎學金</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400" w:hRule="exact"/>
        </w:trPr>
        <w:tc>
          <w:tcPr>
            <w:tcW w:w="1963" w:type="dxa"/>
            <w:vMerge/>
            <w:tcBorders>
              <w:left w:val="single" w:sz="5" w:space="0" w:color="000000"/>
              <w:right w:val="single" w:sz="5" w:space="0" w:color="000000"/>
            </w:tcBorders>
          </w:tcPr>
          <w:p>
            <w:pPr/>
          </w:p>
        </w:tc>
        <w:tc>
          <w:tcPr>
            <w:tcW w:w="7248" w:type="dxa"/>
            <w:tcBorders>
              <w:top w:val="nil" w:sz="6" w:space="0" w:color="auto"/>
              <w:left w:val="single" w:sz="5" w:space="0" w:color="000000"/>
              <w:bottom w:val="nil" w:sz="6" w:space="0" w:color="auto"/>
              <w:right w:val="single" w:sz="5" w:space="0" w:color="000000"/>
            </w:tcBorders>
          </w:tcPr>
          <w:p>
            <w:pPr>
              <w:pStyle w:val="TableParagraph"/>
              <w:spacing w:line="341" w:lineRule="exact"/>
              <w:ind w:left="10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z w:val="28"/>
                <w:szCs w:val="28"/>
                <w:u w:val="single" w:color="FF0000"/>
              </w:rPr>
              <w:t>之精神，學校得依學校扶弱措施及學生需求情形，擇下列</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399" w:hRule="exact"/>
        </w:trPr>
        <w:tc>
          <w:tcPr>
            <w:tcW w:w="1963" w:type="dxa"/>
            <w:vMerge/>
            <w:tcBorders>
              <w:left w:val="single" w:sz="5" w:space="0" w:color="000000"/>
              <w:right w:val="single" w:sz="5" w:space="0" w:color="000000"/>
            </w:tcBorders>
          </w:tcPr>
          <w:p>
            <w:pPr/>
          </w:p>
        </w:tc>
        <w:tc>
          <w:tcPr>
            <w:tcW w:w="7248" w:type="dxa"/>
            <w:tcBorders>
              <w:top w:val="nil" w:sz="6" w:space="0" w:color="auto"/>
              <w:left w:val="single" w:sz="5" w:space="0" w:color="000000"/>
              <w:bottom w:val="nil" w:sz="6" w:space="0" w:color="auto"/>
              <w:right w:val="single" w:sz="5" w:space="0" w:color="000000"/>
            </w:tcBorders>
          </w:tcPr>
          <w:p>
            <w:pPr>
              <w:pStyle w:val="TableParagraph"/>
              <w:spacing w:line="339" w:lineRule="exact"/>
              <w:ind w:left="10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pacing w:val="-1"/>
                <w:sz w:val="28"/>
                <w:szCs w:val="28"/>
                <w:u w:val="single" w:color="FF0000"/>
              </w:rPr>
              <w:t>方式之一或全部辦理</w:t>
            </w:r>
            <w:r>
              <w:rPr>
                <w:rFonts w:ascii="標楷體" w:hAnsi="標楷體" w:cs="標楷體" w:eastAsia="標楷體"/>
                <w:color w:val="FF0000"/>
                <w:spacing w:val="-1"/>
                <w:sz w:val="28"/>
                <w:szCs w:val="28"/>
                <w:u w:val="single" w:color="FF0000"/>
              </w:rPr>
              <w:t>:</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401" w:hRule="exact"/>
        </w:trPr>
        <w:tc>
          <w:tcPr>
            <w:tcW w:w="1963" w:type="dxa"/>
            <w:vMerge/>
            <w:tcBorders>
              <w:left w:val="single" w:sz="5" w:space="0" w:color="000000"/>
              <w:right w:val="single" w:sz="5" w:space="0" w:color="000000"/>
            </w:tcBorders>
          </w:tcPr>
          <w:p>
            <w:pPr/>
          </w:p>
        </w:tc>
        <w:tc>
          <w:tcPr>
            <w:tcW w:w="7248" w:type="dxa"/>
            <w:tcBorders>
              <w:top w:val="nil" w:sz="6" w:space="0" w:color="auto"/>
              <w:left w:val="single" w:sz="5" w:space="0" w:color="000000"/>
              <w:bottom w:val="nil" w:sz="6" w:space="0" w:color="auto"/>
              <w:right w:val="single" w:sz="5" w:space="0" w:color="000000"/>
            </w:tcBorders>
          </w:tcPr>
          <w:p>
            <w:pPr>
              <w:pStyle w:val="TableParagraph"/>
              <w:spacing w:line="341" w:lineRule="exact"/>
              <w:ind w:left="10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pacing w:val="1"/>
                <w:sz w:val="28"/>
                <w:szCs w:val="28"/>
                <w:u w:val="single" w:color="FF0000"/>
              </w:rPr>
              <w:t>1</w:t>
            </w:r>
            <w:r>
              <w:rPr>
                <w:rFonts w:ascii="標楷體" w:hAnsi="標楷體" w:cs="標楷體" w:eastAsia="標楷體"/>
                <w:color w:val="FF0000"/>
                <w:spacing w:val="-2"/>
                <w:sz w:val="28"/>
                <w:szCs w:val="28"/>
                <w:u w:val="single" w:color="FF0000"/>
              </w:rPr>
              <w:t>.</w:t>
            </w:r>
            <w:r>
              <w:rPr>
                <w:rFonts w:ascii="標楷體" w:hAnsi="標楷體" w:cs="標楷體" w:eastAsia="標楷體"/>
                <w:color w:val="FF0000"/>
                <w:sz w:val="28"/>
                <w:szCs w:val="28"/>
                <w:u w:val="single" w:color="FF0000"/>
              </w:rPr>
              <w:t>核發</w:t>
            </w:r>
            <w:r>
              <w:rPr>
                <w:rFonts w:ascii="標楷體" w:hAnsi="標楷體" w:cs="標楷體" w:eastAsia="標楷體"/>
                <w:color w:val="FF0000"/>
                <w:spacing w:val="-3"/>
                <w:sz w:val="28"/>
                <w:szCs w:val="28"/>
                <w:u w:val="single" w:color="FF0000"/>
              </w:rPr>
              <w:t>每</w:t>
            </w:r>
            <w:r>
              <w:rPr>
                <w:rFonts w:ascii="標楷體" w:hAnsi="標楷體" w:cs="標楷體" w:eastAsia="標楷體"/>
                <w:color w:val="FF0000"/>
                <w:sz w:val="28"/>
                <w:szCs w:val="28"/>
                <w:u w:val="single" w:color="FF0000"/>
              </w:rPr>
              <w:t>生每月</w:t>
            </w:r>
            <w:r>
              <w:rPr>
                <w:rFonts w:ascii="標楷體" w:hAnsi="標楷體" w:cs="標楷體" w:eastAsia="標楷體"/>
                <w:color w:val="FF0000"/>
                <w:spacing w:val="-71"/>
                <w:sz w:val="28"/>
                <w:szCs w:val="28"/>
                <w:u w:val="single" w:color="FF0000"/>
              </w:rPr>
              <w:t> </w:t>
            </w:r>
            <w:r>
              <w:rPr>
                <w:rFonts w:ascii="Times New Roman" w:hAnsi="Times New Roman" w:cs="Times New Roman" w:eastAsia="Times New Roman"/>
                <w:color w:val="FF0000"/>
                <w:spacing w:val="-71"/>
                <w:sz w:val="28"/>
                <w:szCs w:val="28"/>
                <w:u w:val="single" w:color="FF0000"/>
              </w:rPr>
            </w:r>
            <w:r>
              <w:rPr>
                <w:rFonts w:ascii="標楷體" w:hAnsi="標楷體" w:cs="標楷體" w:eastAsia="標楷體"/>
                <w:color w:val="FF0000"/>
                <w:spacing w:val="-2"/>
                <w:sz w:val="28"/>
                <w:szCs w:val="28"/>
                <w:u w:val="single" w:color="FF0000"/>
              </w:rPr>
              <w:t>6,0</w:t>
            </w:r>
            <w:r>
              <w:rPr>
                <w:rFonts w:ascii="標楷體" w:hAnsi="標楷體" w:cs="標楷體" w:eastAsia="標楷體"/>
                <w:color w:val="FF0000"/>
                <w:spacing w:val="1"/>
                <w:sz w:val="28"/>
                <w:szCs w:val="28"/>
                <w:u w:val="single" w:color="FF0000"/>
              </w:rPr>
              <w:t>0</w:t>
            </w:r>
            <w:r>
              <w:rPr>
                <w:rFonts w:ascii="標楷體" w:hAnsi="標楷體" w:cs="標楷體" w:eastAsia="標楷體"/>
                <w:color w:val="FF0000"/>
                <w:sz w:val="28"/>
                <w:szCs w:val="28"/>
                <w:u w:val="single" w:color="FF0000"/>
              </w:rPr>
              <w:t>0</w:t>
            </w:r>
            <w:r>
              <w:rPr>
                <w:rFonts w:ascii="標楷體" w:hAnsi="標楷體" w:cs="標楷體" w:eastAsia="標楷體"/>
                <w:color w:val="FF0000"/>
                <w:spacing w:val="-73"/>
                <w:sz w:val="28"/>
                <w:szCs w:val="28"/>
                <w:u w:val="single" w:color="FF0000"/>
              </w:rPr>
              <w:t> </w:t>
            </w:r>
            <w:r>
              <w:rPr>
                <w:rFonts w:ascii="標楷體" w:hAnsi="標楷體" w:cs="標楷體" w:eastAsia="標楷體"/>
                <w:color w:val="FF0000"/>
                <w:sz w:val="28"/>
                <w:szCs w:val="28"/>
                <w:u w:val="single" w:color="FF0000"/>
              </w:rPr>
              <w:t>元以上</w:t>
            </w:r>
            <w:r>
              <w:rPr>
                <w:rFonts w:ascii="標楷體" w:hAnsi="標楷體" w:cs="標楷體" w:eastAsia="標楷體"/>
                <w:color w:val="FF0000"/>
                <w:spacing w:val="-3"/>
                <w:sz w:val="28"/>
                <w:szCs w:val="28"/>
                <w:u w:val="single" w:color="FF0000"/>
              </w:rPr>
              <w:t>之</w:t>
            </w:r>
            <w:r>
              <w:rPr>
                <w:rFonts w:ascii="標楷體" w:hAnsi="標楷體" w:cs="標楷體" w:eastAsia="標楷體"/>
                <w:color w:val="FF0000"/>
                <w:sz w:val="28"/>
                <w:szCs w:val="28"/>
                <w:u w:val="single" w:color="FF0000"/>
              </w:rPr>
              <w:t>生活</w:t>
            </w:r>
            <w:r>
              <w:rPr>
                <w:rFonts w:ascii="標楷體" w:hAnsi="標楷體" w:cs="標楷體" w:eastAsia="標楷體"/>
                <w:color w:val="FF0000"/>
                <w:spacing w:val="-3"/>
                <w:sz w:val="28"/>
                <w:szCs w:val="28"/>
                <w:u w:val="single" w:color="FF0000"/>
              </w:rPr>
              <w:t>助</w:t>
            </w:r>
            <w:r>
              <w:rPr>
                <w:rFonts w:ascii="標楷體" w:hAnsi="標楷體" w:cs="標楷體" w:eastAsia="標楷體"/>
                <w:color w:val="FF0000"/>
                <w:sz w:val="28"/>
                <w:szCs w:val="28"/>
                <w:u w:val="single" w:color="FF0000"/>
              </w:rPr>
              <w:t>學金</w:t>
            </w:r>
            <w:r>
              <w:rPr>
                <w:rFonts w:ascii="標楷體" w:hAnsi="標楷體" w:cs="標楷體" w:eastAsia="標楷體"/>
                <w:color w:val="FF0000"/>
                <w:spacing w:val="-56"/>
                <w:sz w:val="28"/>
                <w:szCs w:val="28"/>
                <w:u w:val="single" w:color="FF0000"/>
              </w:rPr>
              <w:t>者</w:t>
            </w:r>
            <w:r>
              <w:rPr>
                <w:rFonts w:ascii="標楷體" w:hAnsi="標楷體" w:cs="標楷體" w:eastAsia="標楷體"/>
                <w:color w:val="FF0000"/>
                <w:sz w:val="28"/>
                <w:szCs w:val="28"/>
                <w:u w:val="single" w:color="FF0000"/>
              </w:rPr>
              <w:t>，</w:t>
            </w:r>
            <w:r>
              <w:rPr>
                <w:rFonts w:ascii="標楷體" w:hAnsi="標楷體" w:cs="標楷體" w:eastAsia="標楷體"/>
                <w:color w:val="FF0000"/>
                <w:spacing w:val="-54"/>
                <w:sz w:val="28"/>
                <w:szCs w:val="28"/>
                <w:u w:val="single" w:color="FF0000"/>
              </w:rPr>
              <w:t> </w:t>
            </w:r>
            <w:r>
              <w:rPr>
                <w:rFonts w:ascii="Times New Roman" w:hAnsi="Times New Roman" w:cs="Times New Roman" w:eastAsia="Times New Roman"/>
                <w:color w:val="FF0000"/>
                <w:spacing w:val="-54"/>
                <w:sz w:val="28"/>
                <w:szCs w:val="28"/>
                <w:u w:val="single" w:color="FF0000"/>
              </w:rPr>
            </w:r>
            <w:r>
              <w:rPr>
                <w:rFonts w:ascii="標楷體" w:hAnsi="標楷體" w:cs="標楷體" w:eastAsia="標楷體"/>
                <w:color w:val="FF0000"/>
                <w:sz w:val="28"/>
                <w:szCs w:val="28"/>
                <w:u w:val="single" w:color="FF0000"/>
              </w:rPr>
              <w:t>學</w:t>
            </w:r>
            <w:r>
              <w:rPr>
                <w:rFonts w:ascii="標楷體" w:hAnsi="標楷體" w:cs="標楷體" w:eastAsia="標楷體"/>
                <w:color w:val="FF0000"/>
                <w:spacing w:val="-3"/>
                <w:sz w:val="28"/>
                <w:szCs w:val="28"/>
                <w:u w:val="single" w:color="FF0000"/>
              </w:rPr>
              <w:t>校</w:t>
            </w:r>
            <w:r>
              <w:rPr>
                <w:rFonts w:ascii="標楷體" w:hAnsi="標楷體" w:cs="標楷體" w:eastAsia="標楷體"/>
                <w:color w:val="FF0000"/>
                <w:sz w:val="28"/>
                <w:szCs w:val="28"/>
                <w:u w:val="single" w:color="FF0000"/>
              </w:rPr>
              <w:t>得安</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399" w:hRule="exact"/>
        </w:trPr>
        <w:tc>
          <w:tcPr>
            <w:tcW w:w="1963" w:type="dxa"/>
            <w:vMerge/>
            <w:tcBorders>
              <w:left w:val="single" w:sz="5" w:space="0" w:color="000000"/>
              <w:right w:val="single" w:sz="5" w:space="0" w:color="000000"/>
            </w:tcBorders>
          </w:tcPr>
          <w:p>
            <w:pPr/>
          </w:p>
        </w:tc>
        <w:tc>
          <w:tcPr>
            <w:tcW w:w="7248" w:type="dxa"/>
            <w:tcBorders>
              <w:top w:val="nil" w:sz="6" w:space="0" w:color="auto"/>
              <w:left w:val="single" w:sz="5" w:space="0" w:color="000000"/>
              <w:bottom w:val="nil" w:sz="6" w:space="0" w:color="auto"/>
              <w:right w:val="single" w:sz="5" w:space="0" w:color="000000"/>
            </w:tcBorders>
          </w:tcPr>
          <w:p>
            <w:pPr>
              <w:pStyle w:val="TableParagraph"/>
              <w:spacing w:line="341" w:lineRule="exact"/>
              <w:ind w:left="38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pacing w:val="-1"/>
                <w:sz w:val="28"/>
                <w:szCs w:val="28"/>
                <w:u w:val="single" w:color="FF0000"/>
              </w:rPr>
              <w:t>排生活服務學習。</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400" w:hRule="exact"/>
        </w:trPr>
        <w:tc>
          <w:tcPr>
            <w:tcW w:w="1963" w:type="dxa"/>
            <w:vMerge/>
            <w:tcBorders>
              <w:left w:val="single" w:sz="5" w:space="0" w:color="000000"/>
              <w:right w:val="single" w:sz="5" w:space="0" w:color="000000"/>
            </w:tcBorders>
          </w:tcPr>
          <w:p>
            <w:pPr/>
          </w:p>
        </w:tc>
        <w:tc>
          <w:tcPr>
            <w:tcW w:w="7248" w:type="dxa"/>
            <w:tcBorders>
              <w:top w:val="nil" w:sz="6" w:space="0" w:color="auto"/>
              <w:left w:val="single" w:sz="5" w:space="0" w:color="000000"/>
              <w:bottom w:val="nil" w:sz="6" w:space="0" w:color="auto"/>
              <w:right w:val="single" w:sz="5" w:space="0" w:color="000000"/>
            </w:tcBorders>
          </w:tcPr>
          <w:p>
            <w:pPr>
              <w:pStyle w:val="TableParagraph"/>
              <w:spacing w:line="340" w:lineRule="exact"/>
              <w:ind w:left="10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pacing w:val="-1"/>
                <w:sz w:val="28"/>
                <w:szCs w:val="28"/>
                <w:u w:val="single" w:color="FF0000"/>
              </w:rPr>
              <w:t>2.</w:t>
            </w:r>
            <w:r>
              <w:rPr>
                <w:rFonts w:ascii="標楷體" w:hAnsi="標楷體" w:cs="標楷體" w:eastAsia="標楷體"/>
                <w:color w:val="FF0000"/>
                <w:spacing w:val="-1"/>
                <w:sz w:val="28"/>
                <w:szCs w:val="28"/>
                <w:u w:val="single" w:color="FF0000"/>
              </w:rPr>
              <w:t>核發每生每月</w:t>
            </w:r>
            <w:r>
              <w:rPr>
                <w:rFonts w:ascii="標楷體" w:hAnsi="標楷體" w:cs="標楷體" w:eastAsia="標楷體"/>
                <w:color w:val="FF0000"/>
                <w:spacing w:val="-61"/>
                <w:sz w:val="28"/>
                <w:szCs w:val="28"/>
                <w:u w:val="single" w:color="FF0000"/>
              </w:rPr>
              <w:t> </w:t>
            </w:r>
            <w:r>
              <w:rPr>
                <w:rFonts w:ascii="Times New Roman" w:hAnsi="Times New Roman" w:cs="Times New Roman" w:eastAsia="Times New Roman"/>
                <w:color w:val="FF0000"/>
                <w:spacing w:val="-61"/>
                <w:sz w:val="28"/>
                <w:szCs w:val="28"/>
                <w:u w:val="single" w:color="FF0000"/>
              </w:rPr>
            </w:r>
            <w:r>
              <w:rPr>
                <w:rFonts w:ascii="標楷體" w:hAnsi="標楷體" w:cs="標楷體" w:eastAsia="標楷體"/>
                <w:color w:val="FF0000"/>
                <w:spacing w:val="-2"/>
                <w:sz w:val="28"/>
                <w:szCs w:val="28"/>
                <w:u w:val="single" w:color="FF0000"/>
              </w:rPr>
              <w:t>3,000</w:t>
            </w:r>
            <w:r>
              <w:rPr>
                <w:rFonts w:ascii="標楷體" w:hAnsi="標楷體" w:cs="標楷體" w:eastAsia="標楷體"/>
                <w:color w:val="FF0000"/>
                <w:spacing w:val="-62"/>
                <w:sz w:val="28"/>
                <w:szCs w:val="28"/>
                <w:u w:val="single" w:color="FF0000"/>
              </w:rPr>
              <w:t> </w:t>
            </w:r>
            <w:r>
              <w:rPr>
                <w:rFonts w:ascii="標楷體" w:hAnsi="標楷體" w:cs="標楷體" w:eastAsia="標楷體"/>
                <w:color w:val="FF0000"/>
                <w:spacing w:val="-1"/>
                <w:sz w:val="28"/>
                <w:szCs w:val="28"/>
                <w:u w:val="single" w:color="FF0000"/>
              </w:rPr>
              <w:t>元以上未達</w:t>
            </w:r>
            <w:r>
              <w:rPr>
                <w:rFonts w:ascii="標楷體" w:hAnsi="標楷體" w:cs="標楷體" w:eastAsia="標楷體"/>
                <w:color w:val="FF0000"/>
                <w:spacing w:val="-61"/>
                <w:sz w:val="28"/>
                <w:szCs w:val="28"/>
                <w:u w:val="single" w:color="FF0000"/>
              </w:rPr>
              <w:t> </w:t>
            </w:r>
            <w:r>
              <w:rPr>
                <w:rFonts w:ascii="Times New Roman" w:hAnsi="Times New Roman" w:cs="Times New Roman" w:eastAsia="Times New Roman"/>
                <w:color w:val="FF0000"/>
                <w:spacing w:val="-61"/>
                <w:sz w:val="28"/>
                <w:szCs w:val="28"/>
                <w:u w:val="single" w:color="FF0000"/>
              </w:rPr>
            </w:r>
            <w:r>
              <w:rPr>
                <w:rFonts w:ascii="標楷體" w:hAnsi="標楷體" w:cs="標楷體" w:eastAsia="標楷體"/>
                <w:color w:val="FF0000"/>
                <w:spacing w:val="-2"/>
                <w:sz w:val="28"/>
                <w:szCs w:val="28"/>
                <w:u w:val="single" w:color="FF0000"/>
              </w:rPr>
              <w:t>6,000</w:t>
            </w:r>
            <w:r>
              <w:rPr>
                <w:rFonts w:ascii="標楷體" w:hAnsi="標楷體" w:cs="標楷體" w:eastAsia="標楷體"/>
                <w:color w:val="FF0000"/>
                <w:spacing w:val="-62"/>
                <w:sz w:val="28"/>
                <w:szCs w:val="28"/>
                <w:u w:val="single" w:color="FF0000"/>
              </w:rPr>
              <w:t> </w:t>
            </w:r>
            <w:r>
              <w:rPr>
                <w:rFonts w:ascii="標楷體" w:hAnsi="標楷體" w:cs="標楷體" w:eastAsia="標楷體"/>
                <w:color w:val="FF0000"/>
                <w:spacing w:val="-1"/>
                <w:sz w:val="28"/>
                <w:szCs w:val="28"/>
                <w:u w:val="single" w:color="FF0000"/>
              </w:rPr>
              <w:t>元之生活助學金</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371" w:hRule="exact"/>
        </w:trPr>
        <w:tc>
          <w:tcPr>
            <w:tcW w:w="1963" w:type="dxa"/>
            <w:vMerge/>
            <w:tcBorders>
              <w:left w:val="single" w:sz="5" w:space="0" w:color="000000"/>
              <w:bottom w:val="single" w:sz="5" w:space="0" w:color="000000"/>
              <w:right w:val="single" w:sz="5" w:space="0" w:color="000000"/>
            </w:tcBorders>
          </w:tcPr>
          <w:p>
            <w:pPr/>
          </w:p>
        </w:tc>
        <w:tc>
          <w:tcPr>
            <w:tcW w:w="7248" w:type="dxa"/>
            <w:tcBorders>
              <w:top w:val="nil" w:sz="6" w:space="0" w:color="auto"/>
              <w:left w:val="single" w:sz="5" w:space="0" w:color="000000"/>
              <w:bottom w:val="single" w:sz="5" w:space="0" w:color="000000"/>
              <w:right w:val="single" w:sz="5" w:space="0" w:color="000000"/>
            </w:tcBorders>
          </w:tcPr>
          <w:p>
            <w:pPr>
              <w:pStyle w:val="TableParagraph"/>
              <w:spacing w:line="341" w:lineRule="exact"/>
              <w:ind w:left="382" w:right="0"/>
              <w:jc w:val="left"/>
              <w:rPr>
                <w:rFonts w:ascii="標楷體" w:hAnsi="標楷體" w:cs="標楷體" w:eastAsia="標楷體"/>
                <w:sz w:val="28"/>
                <w:szCs w:val="28"/>
              </w:rPr>
            </w:pPr>
            <w:r>
              <w:rPr>
                <w:rFonts w:ascii="標楷體" w:hAnsi="標楷體" w:cs="標楷體" w:eastAsia="標楷體"/>
                <w:color w:val="FF0000"/>
                <w:sz w:val="28"/>
                <w:szCs w:val="28"/>
              </w:rPr>
            </w:r>
            <w:r>
              <w:rPr>
                <w:rFonts w:ascii="標楷體" w:hAnsi="標楷體" w:cs="標楷體" w:eastAsia="標楷體"/>
                <w:color w:val="FF0000"/>
                <w:spacing w:val="-1"/>
                <w:sz w:val="28"/>
                <w:szCs w:val="28"/>
                <w:u w:val="single" w:color="FF0000"/>
              </w:rPr>
              <w:t>者，學校不得安排生活服務學習。</w:t>
            </w:r>
            <w:r>
              <w:rPr>
                <w:rFonts w:ascii="標楷體" w:hAnsi="標楷體" w:cs="標楷體" w:eastAsia="標楷體"/>
                <w:color w:val="FF0000"/>
                <w:sz w:val="28"/>
                <w:szCs w:val="28"/>
              </w:rPr>
            </w:r>
            <w:r>
              <w:rPr>
                <w:rFonts w:ascii="標楷體" w:hAnsi="標楷體" w:cs="標楷體" w:eastAsia="標楷體"/>
                <w:sz w:val="28"/>
                <w:szCs w:val="28"/>
              </w:rPr>
            </w:r>
          </w:p>
        </w:tc>
      </w:tr>
      <w:tr>
        <w:trPr>
          <w:trHeight w:val="471" w:hRule="exact"/>
        </w:trPr>
        <w:tc>
          <w:tcPr>
            <w:tcW w:w="1963" w:type="dxa"/>
            <w:tcBorders>
              <w:top w:val="single" w:sz="5" w:space="0" w:color="000000"/>
              <w:left w:val="single" w:sz="5" w:space="0" w:color="000000"/>
              <w:bottom w:val="nil" w:sz="6" w:space="0" w:color="auto"/>
              <w:right w:val="single" w:sz="5" w:space="0" w:color="000000"/>
            </w:tcBorders>
          </w:tcPr>
          <w:p>
            <w:pPr>
              <w:pStyle w:val="TableParagraph"/>
              <w:spacing w:line="240" w:lineRule="auto" w:before="38"/>
              <w:ind w:left="411" w:right="0"/>
              <w:jc w:val="left"/>
              <w:rPr>
                <w:rFonts w:ascii="標楷體" w:hAnsi="標楷體" w:cs="標楷體" w:eastAsia="標楷體"/>
                <w:sz w:val="28"/>
                <w:szCs w:val="28"/>
              </w:rPr>
            </w:pPr>
            <w:r>
              <w:rPr>
                <w:rFonts w:ascii="標楷體" w:hAnsi="標楷體" w:cs="標楷體" w:eastAsia="標楷體"/>
                <w:sz w:val="28"/>
                <w:szCs w:val="28"/>
              </w:rPr>
              <w:t>緊急紓困</w:t>
            </w:r>
          </w:p>
        </w:tc>
        <w:tc>
          <w:tcPr>
            <w:tcW w:w="7248" w:type="dxa"/>
            <w:tcBorders>
              <w:top w:val="single" w:sz="5" w:space="0" w:color="000000"/>
              <w:left w:val="single" w:sz="5" w:space="0" w:color="000000"/>
              <w:bottom w:val="nil" w:sz="6" w:space="0" w:color="auto"/>
              <w:right w:val="single" w:sz="5" w:space="0" w:color="000000"/>
            </w:tcBorders>
          </w:tcPr>
          <w:p>
            <w:pPr>
              <w:pStyle w:val="TableParagraph"/>
              <w:spacing w:line="240" w:lineRule="auto" w:before="38"/>
              <w:ind w:left="101" w:right="0"/>
              <w:jc w:val="left"/>
              <w:rPr>
                <w:rFonts w:ascii="標楷體" w:hAnsi="標楷體" w:cs="標楷體" w:eastAsia="標楷體"/>
                <w:sz w:val="28"/>
                <w:szCs w:val="28"/>
              </w:rPr>
            </w:pPr>
            <w:r>
              <w:rPr>
                <w:rFonts w:ascii="標楷體" w:hAnsi="標楷體" w:cs="標楷體" w:eastAsia="標楷體"/>
                <w:sz w:val="28"/>
                <w:szCs w:val="28"/>
              </w:rPr>
              <w:t>對於新貧、近貧或家庭發生急難之學生，由學校依學生困</w:t>
            </w:r>
          </w:p>
        </w:tc>
      </w:tr>
      <w:tr>
        <w:trPr>
          <w:trHeight w:val="400" w:hRule="exact"/>
        </w:trPr>
        <w:tc>
          <w:tcPr>
            <w:tcW w:w="1963" w:type="dxa"/>
            <w:tcBorders>
              <w:top w:val="nil" w:sz="6" w:space="0" w:color="auto"/>
              <w:left w:val="single" w:sz="5" w:space="0" w:color="000000"/>
              <w:bottom w:val="single" w:sz="5" w:space="0" w:color="000000"/>
              <w:right w:val="single" w:sz="5" w:space="0" w:color="000000"/>
            </w:tcBorders>
          </w:tcPr>
          <w:p>
            <w:pPr>
              <w:pStyle w:val="TableParagraph"/>
              <w:spacing w:line="341" w:lineRule="exact"/>
              <w:ind w:left="553" w:right="0"/>
              <w:jc w:val="left"/>
              <w:rPr>
                <w:rFonts w:ascii="標楷體" w:hAnsi="標楷體" w:cs="標楷體" w:eastAsia="標楷體"/>
                <w:sz w:val="28"/>
                <w:szCs w:val="28"/>
              </w:rPr>
            </w:pPr>
            <w:r>
              <w:rPr>
                <w:rFonts w:ascii="標楷體" w:hAnsi="標楷體" w:cs="標楷體" w:eastAsia="標楷體"/>
                <w:sz w:val="28"/>
                <w:szCs w:val="28"/>
              </w:rPr>
              <w:t>助學金</w:t>
            </w:r>
          </w:p>
        </w:tc>
        <w:tc>
          <w:tcPr>
            <w:tcW w:w="7248" w:type="dxa"/>
            <w:tcBorders>
              <w:top w:val="nil" w:sz="6" w:space="0" w:color="auto"/>
              <w:left w:val="single" w:sz="5" w:space="0" w:color="000000"/>
              <w:bottom w:val="single" w:sz="5" w:space="0" w:color="000000"/>
              <w:right w:val="single" w:sz="5" w:space="0" w:color="000000"/>
            </w:tcBorders>
          </w:tcPr>
          <w:p>
            <w:pPr>
              <w:pStyle w:val="TableParagraph"/>
              <w:spacing w:line="341" w:lineRule="exact"/>
              <w:ind w:left="101" w:right="0"/>
              <w:jc w:val="left"/>
              <w:rPr>
                <w:rFonts w:ascii="標楷體" w:hAnsi="標楷體" w:cs="標楷體" w:eastAsia="標楷體"/>
                <w:sz w:val="28"/>
                <w:szCs w:val="28"/>
              </w:rPr>
            </w:pPr>
            <w:r>
              <w:rPr>
                <w:rFonts w:ascii="標楷體" w:hAnsi="標楷體" w:cs="標楷體" w:eastAsia="標楷體"/>
                <w:spacing w:val="-1"/>
                <w:sz w:val="28"/>
                <w:szCs w:val="28"/>
              </w:rPr>
              <w:t>難實際狀況給予補助。</w:t>
            </w:r>
          </w:p>
        </w:tc>
      </w:tr>
      <w:tr>
        <w:trPr>
          <w:trHeight w:val="811" w:hRule="exact"/>
        </w:trPr>
        <w:tc>
          <w:tcPr>
            <w:tcW w:w="1963"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209"/>
              <w:ind w:left="411" w:right="0"/>
              <w:jc w:val="left"/>
              <w:rPr>
                <w:rFonts w:ascii="標楷體" w:hAnsi="標楷體" w:cs="標楷體" w:eastAsia="標楷體"/>
                <w:sz w:val="28"/>
                <w:szCs w:val="28"/>
              </w:rPr>
            </w:pPr>
            <w:r>
              <w:rPr>
                <w:rFonts w:ascii="標楷體" w:hAnsi="標楷體" w:cs="標楷體" w:eastAsia="標楷體"/>
                <w:sz w:val="28"/>
                <w:szCs w:val="28"/>
              </w:rPr>
              <w:t>住宿優惠</w:t>
            </w:r>
          </w:p>
        </w:tc>
        <w:tc>
          <w:tcPr>
            <w:tcW w:w="7248" w:type="dxa"/>
            <w:tcBorders>
              <w:top w:val="single" w:sz="5" w:space="0" w:color="000000"/>
              <w:left w:val="single" w:sz="5" w:space="0" w:color="000000"/>
              <w:bottom w:val="single" w:sz="5" w:space="0" w:color="000000"/>
              <w:right w:val="single" w:sz="5" w:space="0" w:color="000000"/>
            </w:tcBorders>
          </w:tcPr>
          <w:p>
            <w:pPr>
              <w:pStyle w:val="TableParagraph"/>
              <w:spacing w:line="262" w:lineRule="auto" w:before="7"/>
              <w:ind w:left="101" w:right="98"/>
              <w:jc w:val="left"/>
              <w:rPr>
                <w:rFonts w:ascii="標楷體" w:hAnsi="標楷體" w:cs="標楷體" w:eastAsia="標楷體"/>
                <w:sz w:val="28"/>
                <w:szCs w:val="28"/>
              </w:rPr>
            </w:pPr>
            <w:r>
              <w:rPr>
                <w:rFonts w:ascii="標楷體" w:hAnsi="標楷體" w:cs="標楷體" w:eastAsia="標楷體"/>
                <w:sz w:val="28"/>
                <w:szCs w:val="28"/>
              </w:rPr>
              <w:t>提供低收入戶學生校內宿舍免費住宿；另提供中低收入戶</w:t>
            </w:r>
            <w:r>
              <w:rPr>
                <w:rFonts w:ascii="標楷體" w:hAnsi="標楷體" w:cs="標楷體" w:eastAsia="標楷體"/>
                <w:spacing w:val="24"/>
                <w:sz w:val="28"/>
                <w:szCs w:val="28"/>
              </w:rPr>
              <w:t> </w:t>
            </w:r>
            <w:r>
              <w:rPr>
                <w:rFonts w:ascii="標楷體" w:hAnsi="標楷體" w:cs="標楷體" w:eastAsia="標楷體"/>
                <w:spacing w:val="-1"/>
                <w:sz w:val="28"/>
                <w:szCs w:val="28"/>
              </w:rPr>
              <w:t>學生校內宿舍優先住宿。</w:t>
            </w:r>
          </w:p>
        </w:tc>
      </w:tr>
    </w:tbl>
    <w:p>
      <w:pPr>
        <w:spacing w:after="0" w:line="262" w:lineRule="auto"/>
        <w:jc w:val="left"/>
        <w:rPr>
          <w:rFonts w:ascii="標楷體" w:hAnsi="標楷體" w:cs="標楷體" w:eastAsia="標楷體"/>
          <w:sz w:val="28"/>
          <w:szCs w:val="28"/>
        </w:rPr>
        <w:sectPr>
          <w:footerReference w:type="default" r:id="rId5"/>
          <w:type w:val="continuous"/>
          <w:pgSz w:w="11910" w:h="16840"/>
          <w:pgMar w:footer="1232" w:top="1400" w:bottom="1420" w:left="1400" w:right="980"/>
          <w:pgNumType w:start="1"/>
        </w:sectPr>
      </w:pPr>
    </w:p>
    <w:p>
      <w:pPr>
        <w:pStyle w:val="BodyText"/>
        <w:spacing w:line="361" w:lineRule="exact" w:before="0"/>
        <w:ind w:right="0"/>
        <w:jc w:val="left"/>
      </w:pPr>
      <w:r>
        <w:rPr>
          <w:spacing w:val="-1"/>
        </w:rPr>
        <w:t>一、助學金：</w:t>
      </w:r>
    </w:p>
    <w:p>
      <w:pPr>
        <w:pStyle w:val="BodyText"/>
        <w:tabs>
          <w:tab w:pos="7403" w:val="left" w:leader="none"/>
        </w:tabs>
        <w:spacing w:line="240" w:lineRule="auto" w:before="113"/>
        <w:ind w:left="260" w:right="0"/>
        <w:jc w:val="left"/>
      </w:pPr>
      <w:r>
        <w:rPr>
          <w:spacing w:val="-1"/>
        </w:rPr>
        <w:t>（一）補助金額：</w:t>
        <w:tab/>
        <w:t>（單位：元）</w:t>
      </w:r>
    </w:p>
    <w:p>
      <w:pPr>
        <w:spacing w:line="240" w:lineRule="auto" w:before="0"/>
        <w:rPr>
          <w:rFonts w:ascii="標楷體" w:hAnsi="標楷體" w:cs="標楷體" w:eastAsia="標楷體"/>
          <w:sz w:val="3"/>
          <w:szCs w:val="3"/>
        </w:rPr>
      </w:pPr>
    </w:p>
    <w:tbl>
      <w:tblPr>
        <w:tblW w:w="0" w:type="auto"/>
        <w:jc w:val="left"/>
        <w:tblInd w:w="115" w:type="dxa"/>
        <w:tblLayout w:type="fixed"/>
        <w:tblCellMar>
          <w:top w:w="0" w:type="dxa"/>
          <w:left w:w="0" w:type="dxa"/>
          <w:bottom w:w="0" w:type="dxa"/>
          <w:right w:w="0" w:type="dxa"/>
        </w:tblCellMar>
        <w:tblLook w:val="01E0"/>
      </w:tblPr>
      <w:tblGrid>
        <w:gridCol w:w="1418"/>
        <w:gridCol w:w="3542"/>
        <w:gridCol w:w="2268"/>
        <w:gridCol w:w="2268"/>
      </w:tblGrid>
      <w:tr>
        <w:trPr>
          <w:trHeight w:val="970" w:hRule="exact"/>
        </w:trPr>
        <w:tc>
          <w:tcPr>
            <w:tcW w:w="4961" w:type="dxa"/>
            <w:gridSpan w:val="2"/>
            <w:tcBorders>
              <w:top w:val="single" w:sz="5" w:space="0" w:color="000000"/>
              <w:left w:val="single" w:sz="5" w:space="0" w:color="000000"/>
              <w:bottom w:val="single" w:sz="5" w:space="0" w:color="000000"/>
              <w:right w:val="single" w:sz="5" w:space="0" w:color="000000"/>
            </w:tcBorders>
          </w:tcPr>
          <w:p>
            <w:pPr>
              <w:pStyle w:val="TableParagraph"/>
              <w:spacing w:line="240" w:lineRule="auto" w:before="11"/>
              <w:ind w:right="0"/>
              <w:jc w:val="left"/>
              <w:rPr>
                <w:rFonts w:ascii="標楷體" w:hAnsi="標楷體" w:cs="標楷體" w:eastAsia="標楷體"/>
                <w:sz w:val="23"/>
                <w:szCs w:val="23"/>
              </w:rPr>
            </w:pPr>
          </w:p>
          <w:p>
            <w:pPr>
              <w:pStyle w:val="TableParagraph"/>
              <w:spacing w:line="240" w:lineRule="auto"/>
              <w:ind w:left="1074" w:right="0"/>
              <w:jc w:val="left"/>
              <w:rPr>
                <w:rFonts w:ascii="標楷體" w:hAnsi="標楷體" w:cs="標楷體" w:eastAsia="標楷體"/>
                <w:sz w:val="28"/>
                <w:szCs w:val="28"/>
              </w:rPr>
            </w:pPr>
            <w:r>
              <w:rPr>
                <w:rFonts w:ascii="標楷體" w:hAnsi="標楷體" w:cs="標楷體" w:eastAsia="標楷體"/>
                <w:spacing w:val="-1"/>
                <w:sz w:val="28"/>
                <w:szCs w:val="28"/>
              </w:rPr>
              <w:t>申請資格－家庭年所得</w:t>
            </w:r>
          </w:p>
        </w:tc>
        <w:tc>
          <w:tcPr>
            <w:tcW w:w="4536" w:type="dxa"/>
            <w:gridSpan w:val="2"/>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right="1"/>
              <w:jc w:val="center"/>
              <w:rPr>
                <w:rFonts w:ascii="標楷體" w:hAnsi="標楷體" w:cs="標楷體" w:eastAsia="標楷體"/>
                <w:sz w:val="28"/>
                <w:szCs w:val="28"/>
              </w:rPr>
            </w:pPr>
            <w:r>
              <w:rPr>
                <w:rFonts w:ascii="標楷體" w:hAnsi="標楷體" w:cs="標楷體" w:eastAsia="標楷體"/>
                <w:spacing w:val="-1"/>
                <w:sz w:val="28"/>
                <w:szCs w:val="28"/>
              </w:rPr>
              <w:t>政府及學校每年補助金額</w:t>
            </w:r>
          </w:p>
          <w:p>
            <w:pPr>
              <w:pStyle w:val="TableParagraph"/>
              <w:spacing w:line="240" w:lineRule="auto" w:before="113"/>
              <w:ind w:right="0"/>
              <w:jc w:val="center"/>
              <w:rPr>
                <w:rFonts w:ascii="標楷體" w:hAnsi="標楷體" w:cs="標楷體" w:eastAsia="標楷體"/>
                <w:sz w:val="28"/>
                <w:szCs w:val="28"/>
              </w:rPr>
            </w:pPr>
            <w:r>
              <w:rPr>
                <w:rFonts w:ascii="標楷體" w:hAnsi="標楷體" w:cs="標楷體" w:eastAsia="標楷體"/>
                <w:spacing w:val="-1"/>
                <w:sz w:val="28"/>
                <w:szCs w:val="28"/>
              </w:rPr>
              <w:t>－學校類別</w:t>
            </w:r>
          </w:p>
        </w:tc>
      </w:tr>
      <w:tr>
        <w:trPr>
          <w:trHeight w:val="490" w:hRule="exact"/>
        </w:trPr>
        <w:tc>
          <w:tcPr>
            <w:tcW w:w="4961" w:type="dxa"/>
            <w:gridSpan w:val="2"/>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2" w:right="0"/>
              <w:jc w:val="center"/>
              <w:rPr>
                <w:rFonts w:ascii="標楷體" w:hAnsi="標楷體" w:cs="標楷體" w:eastAsia="標楷體"/>
                <w:sz w:val="28"/>
                <w:szCs w:val="28"/>
              </w:rPr>
            </w:pPr>
            <w:r>
              <w:rPr>
                <w:rFonts w:ascii="標楷體" w:hAnsi="標楷體" w:cs="標楷體" w:eastAsia="標楷體"/>
                <w:sz w:val="28"/>
                <w:szCs w:val="28"/>
              </w:rPr>
              <w:t>級距</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567" w:right="0"/>
              <w:jc w:val="left"/>
              <w:rPr>
                <w:rFonts w:ascii="標楷體" w:hAnsi="標楷體" w:cs="標楷體" w:eastAsia="標楷體"/>
                <w:sz w:val="28"/>
                <w:szCs w:val="28"/>
              </w:rPr>
            </w:pPr>
            <w:r>
              <w:rPr>
                <w:rFonts w:ascii="標楷體" w:hAnsi="標楷體" w:cs="標楷體" w:eastAsia="標楷體"/>
                <w:sz w:val="28"/>
                <w:szCs w:val="28"/>
              </w:rPr>
              <w:t>公立學校</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567" w:right="0"/>
              <w:jc w:val="left"/>
              <w:rPr>
                <w:rFonts w:ascii="標楷體" w:hAnsi="標楷體" w:cs="標楷體" w:eastAsia="標楷體"/>
                <w:sz w:val="28"/>
                <w:szCs w:val="28"/>
              </w:rPr>
            </w:pPr>
            <w:r>
              <w:rPr>
                <w:rFonts w:ascii="標楷體" w:hAnsi="標楷體" w:cs="標楷體" w:eastAsia="標楷體"/>
                <w:sz w:val="28"/>
                <w:szCs w:val="28"/>
              </w:rPr>
              <w:t>私立學校</w:t>
            </w:r>
          </w:p>
        </w:tc>
      </w:tr>
      <w:tr>
        <w:trPr>
          <w:trHeight w:val="492" w:hRule="exact"/>
        </w:trPr>
        <w:tc>
          <w:tcPr>
            <w:tcW w:w="141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4"/>
              <w:ind w:left="282" w:right="0"/>
              <w:jc w:val="left"/>
              <w:rPr>
                <w:rFonts w:ascii="標楷體" w:hAnsi="標楷體" w:cs="標楷體" w:eastAsia="標楷體"/>
                <w:sz w:val="28"/>
                <w:szCs w:val="28"/>
              </w:rPr>
            </w:pPr>
            <w:r>
              <w:rPr>
                <w:rFonts w:ascii="標楷體" w:hAnsi="標楷體" w:cs="標楷體" w:eastAsia="標楷體"/>
                <w:sz w:val="28"/>
                <w:szCs w:val="28"/>
              </w:rPr>
              <w:t>第一級</w:t>
            </w:r>
          </w:p>
        </w:tc>
        <w:tc>
          <w:tcPr>
            <w:tcW w:w="354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4"/>
              <w:ind w:left="1170" w:right="0"/>
              <w:jc w:val="left"/>
              <w:rPr>
                <w:rFonts w:ascii="標楷體" w:hAnsi="標楷體" w:cs="標楷體" w:eastAsia="標楷體"/>
                <w:sz w:val="28"/>
                <w:szCs w:val="28"/>
              </w:rPr>
            </w:pPr>
            <w:r>
              <w:rPr>
                <w:rFonts w:ascii="標楷體" w:hAnsi="標楷體" w:cs="標楷體" w:eastAsia="標楷體"/>
                <w:sz w:val="28"/>
                <w:szCs w:val="28"/>
              </w:rPr>
              <w:t>30</w:t>
            </w:r>
            <w:r>
              <w:rPr>
                <w:rFonts w:ascii="標楷體" w:hAnsi="標楷體" w:cs="標楷體" w:eastAsia="標楷體"/>
                <w:spacing w:val="-72"/>
                <w:sz w:val="28"/>
                <w:szCs w:val="28"/>
              </w:rPr>
              <w:t> </w:t>
            </w:r>
            <w:r>
              <w:rPr>
                <w:rFonts w:ascii="標楷體" w:hAnsi="標楷體" w:cs="標楷體" w:eastAsia="標楷體"/>
                <w:sz w:val="28"/>
                <w:szCs w:val="28"/>
              </w:rPr>
              <w:t>萬以下</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4"/>
              <w:ind w:left="706" w:right="0"/>
              <w:jc w:val="left"/>
              <w:rPr>
                <w:rFonts w:ascii="標楷體" w:hAnsi="標楷體" w:cs="標楷體" w:eastAsia="標楷體"/>
                <w:sz w:val="28"/>
                <w:szCs w:val="28"/>
              </w:rPr>
            </w:pPr>
            <w:r>
              <w:rPr>
                <w:rFonts w:ascii="標楷體"/>
                <w:spacing w:val="-1"/>
                <w:sz w:val="28"/>
              </w:rPr>
              <w:t>16,500</w:t>
            </w:r>
            <w:r>
              <w:rPr>
                <w:rFonts w:ascii="標楷體"/>
                <w:sz w:val="28"/>
              </w:rPr>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4"/>
              <w:ind w:left="706" w:right="0"/>
              <w:jc w:val="left"/>
              <w:rPr>
                <w:rFonts w:ascii="標楷體" w:hAnsi="標楷體" w:cs="標楷體" w:eastAsia="標楷體"/>
                <w:sz w:val="28"/>
                <w:szCs w:val="28"/>
              </w:rPr>
            </w:pPr>
            <w:r>
              <w:rPr>
                <w:rFonts w:ascii="標楷體"/>
                <w:spacing w:val="-1"/>
                <w:sz w:val="28"/>
              </w:rPr>
              <w:t>35,000</w:t>
            </w:r>
            <w:r>
              <w:rPr>
                <w:rFonts w:ascii="標楷體"/>
                <w:sz w:val="28"/>
              </w:rPr>
            </w:r>
          </w:p>
        </w:tc>
      </w:tr>
      <w:tr>
        <w:trPr>
          <w:trHeight w:val="490" w:hRule="exact"/>
        </w:trPr>
        <w:tc>
          <w:tcPr>
            <w:tcW w:w="141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282" w:right="0"/>
              <w:jc w:val="left"/>
              <w:rPr>
                <w:rFonts w:ascii="標楷體" w:hAnsi="標楷體" w:cs="標楷體" w:eastAsia="標楷體"/>
                <w:sz w:val="28"/>
                <w:szCs w:val="28"/>
              </w:rPr>
            </w:pPr>
            <w:r>
              <w:rPr>
                <w:rFonts w:ascii="標楷體" w:hAnsi="標楷體" w:cs="標楷體" w:eastAsia="標楷體"/>
                <w:sz w:val="28"/>
                <w:szCs w:val="28"/>
              </w:rPr>
              <w:t>第二級</w:t>
            </w:r>
          </w:p>
        </w:tc>
        <w:tc>
          <w:tcPr>
            <w:tcW w:w="354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399" w:right="0"/>
              <w:jc w:val="left"/>
              <w:rPr>
                <w:rFonts w:ascii="標楷體" w:hAnsi="標楷體" w:cs="標楷體" w:eastAsia="標楷體"/>
                <w:sz w:val="28"/>
                <w:szCs w:val="28"/>
              </w:rPr>
            </w:pPr>
            <w:r>
              <w:rPr>
                <w:rFonts w:ascii="標楷體" w:hAnsi="標楷體" w:cs="標楷體" w:eastAsia="標楷體"/>
                <w:sz w:val="28"/>
                <w:szCs w:val="28"/>
              </w:rPr>
              <w:t>超過</w:t>
            </w:r>
            <w:r>
              <w:rPr>
                <w:rFonts w:ascii="標楷體" w:hAnsi="標楷體" w:cs="標楷體" w:eastAsia="標楷體"/>
                <w:spacing w:val="-71"/>
                <w:sz w:val="28"/>
                <w:szCs w:val="28"/>
              </w:rPr>
              <w:t> </w:t>
            </w:r>
            <w:r>
              <w:rPr>
                <w:rFonts w:ascii="標楷體" w:hAnsi="標楷體" w:cs="標楷體" w:eastAsia="標楷體"/>
                <w:spacing w:val="-1"/>
                <w:sz w:val="28"/>
                <w:szCs w:val="28"/>
              </w:rPr>
              <w:t>30</w:t>
            </w:r>
            <w:r>
              <w:rPr>
                <w:rFonts w:ascii="標楷體" w:hAnsi="標楷體" w:cs="標楷體" w:eastAsia="標楷體"/>
                <w:spacing w:val="-72"/>
                <w:sz w:val="28"/>
                <w:szCs w:val="28"/>
              </w:rPr>
              <w:t> </w:t>
            </w:r>
            <w:r>
              <w:rPr>
                <w:rFonts w:ascii="標楷體" w:hAnsi="標楷體" w:cs="標楷體" w:eastAsia="標楷體"/>
                <w:sz w:val="28"/>
                <w:szCs w:val="28"/>
              </w:rPr>
              <w:t>萬～</w:t>
            </w:r>
            <w:r>
              <w:rPr>
                <w:rFonts w:ascii="標楷體" w:hAnsi="標楷體" w:cs="標楷體" w:eastAsia="標楷體"/>
                <w:sz w:val="28"/>
                <w:szCs w:val="28"/>
              </w:rPr>
              <w:t>40</w:t>
            </w:r>
            <w:r>
              <w:rPr>
                <w:rFonts w:ascii="標楷體" w:hAnsi="標楷體" w:cs="標楷體" w:eastAsia="標楷體"/>
                <w:spacing w:val="-72"/>
                <w:sz w:val="28"/>
                <w:szCs w:val="28"/>
              </w:rPr>
              <w:t> </w:t>
            </w:r>
            <w:r>
              <w:rPr>
                <w:rFonts w:ascii="標楷體" w:hAnsi="標楷體" w:cs="標楷體" w:eastAsia="標楷體"/>
                <w:spacing w:val="-1"/>
                <w:sz w:val="28"/>
                <w:szCs w:val="28"/>
              </w:rPr>
              <w:t>萬以下</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706" w:right="0"/>
              <w:jc w:val="left"/>
              <w:rPr>
                <w:rFonts w:ascii="標楷體" w:hAnsi="標楷體" w:cs="標楷體" w:eastAsia="標楷體"/>
                <w:sz w:val="28"/>
                <w:szCs w:val="28"/>
              </w:rPr>
            </w:pPr>
            <w:r>
              <w:rPr>
                <w:rFonts w:ascii="標楷體"/>
                <w:spacing w:val="-1"/>
                <w:sz w:val="28"/>
              </w:rPr>
              <w:t>12,500</w:t>
            </w:r>
            <w:r>
              <w:rPr>
                <w:rFonts w:ascii="標楷體"/>
                <w:sz w:val="28"/>
              </w:rPr>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706" w:right="0"/>
              <w:jc w:val="left"/>
              <w:rPr>
                <w:rFonts w:ascii="標楷體" w:hAnsi="標楷體" w:cs="標楷體" w:eastAsia="標楷體"/>
                <w:sz w:val="28"/>
                <w:szCs w:val="28"/>
              </w:rPr>
            </w:pPr>
            <w:r>
              <w:rPr>
                <w:rFonts w:ascii="標楷體"/>
                <w:spacing w:val="-1"/>
                <w:sz w:val="28"/>
              </w:rPr>
              <w:t>27,000</w:t>
            </w:r>
            <w:r>
              <w:rPr>
                <w:rFonts w:ascii="標楷體"/>
                <w:sz w:val="28"/>
              </w:rPr>
            </w:r>
          </w:p>
        </w:tc>
      </w:tr>
      <w:tr>
        <w:trPr>
          <w:trHeight w:val="490" w:hRule="exact"/>
        </w:trPr>
        <w:tc>
          <w:tcPr>
            <w:tcW w:w="141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282" w:right="0"/>
              <w:jc w:val="left"/>
              <w:rPr>
                <w:rFonts w:ascii="標楷體" w:hAnsi="標楷體" w:cs="標楷體" w:eastAsia="標楷體"/>
                <w:sz w:val="28"/>
                <w:szCs w:val="28"/>
              </w:rPr>
            </w:pPr>
            <w:r>
              <w:rPr>
                <w:rFonts w:ascii="標楷體" w:hAnsi="標楷體" w:cs="標楷體" w:eastAsia="標楷體"/>
                <w:sz w:val="28"/>
                <w:szCs w:val="28"/>
              </w:rPr>
              <w:t>第三級</w:t>
            </w:r>
          </w:p>
        </w:tc>
        <w:tc>
          <w:tcPr>
            <w:tcW w:w="354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399" w:right="0"/>
              <w:jc w:val="left"/>
              <w:rPr>
                <w:rFonts w:ascii="標楷體" w:hAnsi="標楷體" w:cs="標楷體" w:eastAsia="標楷體"/>
                <w:sz w:val="28"/>
                <w:szCs w:val="28"/>
              </w:rPr>
            </w:pPr>
            <w:r>
              <w:rPr>
                <w:rFonts w:ascii="標楷體" w:hAnsi="標楷體" w:cs="標楷體" w:eastAsia="標楷體"/>
                <w:sz w:val="28"/>
                <w:szCs w:val="28"/>
              </w:rPr>
              <w:t>超過</w:t>
            </w:r>
            <w:r>
              <w:rPr>
                <w:rFonts w:ascii="標楷體" w:hAnsi="標楷體" w:cs="標楷體" w:eastAsia="標楷體"/>
                <w:spacing w:val="-71"/>
                <w:sz w:val="28"/>
                <w:szCs w:val="28"/>
              </w:rPr>
              <w:t> </w:t>
            </w:r>
            <w:r>
              <w:rPr>
                <w:rFonts w:ascii="標楷體" w:hAnsi="標楷體" w:cs="標楷體" w:eastAsia="標楷體"/>
                <w:spacing w:val="-1"/>
                <w:sz w:val="28"/>
                <w:szCs w:val="28"/>
              </w:rPr>
              <w:t>40</w:t>
            </w:r>
            <w:r>
              <w:rPr>
                <w:rFonts w:ascii="標楷體" w:hAnsi="標楷體" w:cs="標楷體" w:eastAsia="標楷體"/>
                <w:spacing w:val="-72"/>
                <w:sz w:val="28"/>
                <w:szCs w:val="28"/>
              </w:rPr>
              <w:t> </w:t>
            </w:r>
            <w:r>
              <w:rPr>
                <w:rFonts w:ascii="標楷體" w:hAnsi="標楷體" w:cs="標楷體" w:eastAsia="標楷體"/>
                <w:sz w:val="28"/>
                <w:szCs w:val="28"/>
              </w:rPr>
              <w:t>萬～</w:t>
            </w:r>
            <w:r>
              <w:rPr>
                <w:rFonts w:ascii="標楷體" w:hAnsi="標楷體" w:cs="標楷體" w:eastAsia="標楷體"/>
                <w:sz w:val="28"/>
                <w:szCs w:val="28"/>
              </w:rPr>
              <w:t>50</w:t>
            </w:r>
            <w:r>
              <w:rPr>
                <w:rFonts w:ascii="標楷體" w:hAnsi="標楷體" w:cs="標楷體" w:eastAsia="標楷體"/>
                <w:spacing w:val="-72"/>
                <w:sz w:val="28"/>
                <w:szCs w:val="28"/>
              </w:rPr>
              <w:t> </w:t>
            </w:r>
            <w:r>
              <w:rPr>
                <w:rFonts w:ascii="標楷體" w:hAnsi="標楷體" w:cs="標楷體" w:eastAsia="標楷體"/>
                <w:spacing w:val="-1"/>
                <w:sz w:val="28"/>
                <w:szCs w:val="28"/>
              </w:rPr>
              <w:t>萬以下</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706" w:right="0"/>
              <w:jc w:val="left"/>
              <w:rPr>
                <w:rFonts w:ascii="標楷體" w:hAnsi="標楷體" w:cs="標楷體" w:eastAsia="標楷體"/>
                <w:sz w:val="28"/>
                <w:szCs w:val="28"/>
              </w:rPr>
            </w:pPr>
            <w:r>
              <w:rPr>
                <w:rFonts w:ascii="標楷體"/>
                <w:spacing w:val="-1"/>
                <w:sz w:val="28"/>
              </w:rPr>
              <w:t>10,000</w:t>
            </w:r>
            <w:r>
              <w:rPr>
                <w:rFonts w:ascii="標楷體"/>
                <w:sz w:val="28"/>
              </w:rPr>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706" w:right="0"/>
              <w:jc w:val="left"/>
              <w:rPr>
                <w:rFonts w:ascii="標楷體" w:hAnsi="標楷體" w:cs="標楷體" w:eastAsia="標楷體"/>
                <w:sz w:val="28"/>
                <w:szCs w:val="28"/>
              </w:rPr>
            </w:pPr>
            <w:r>
              <w:rPr>
                <w:rFonts w:ascii="標楷體"/>
                <w:spacing w:val="-1"/>
                <w:sz w:val="28"/>
              </w:rPr>
              <w:t>22,000</w:t>
            </w:r>
            <w:r>
              <w:rPr>
                <w:rFonts w:ascii="標楷體"/>
                <w:sz w:val="28"/>
              </w:rPr>
            </w:r>
          </w:p>
        </w:tc>
      </w:tr>
      <w:tr>
        <w:trPr>
          <w:trHeight w:val="490" w:hRule="exact"/>
        </w:trPr>
        <w:tc>
          <w:tcPr>
            <w:tcW w:w="141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282" w:right="0"/>
              <w:jc w:val="left"/>
              <w:rPr>
                <w:rFonts w:ascii="標楷體" w:hAnsi="標楷體" w:cs="標楷體" w:eastAsia="標楷體"/>
                <w:sz w:val="28"/>
                <w:szCs w:val="28"/>
              </w:rPr>
            </w:pPr>
            <w:r>
              <w:rPr>
                <w:rFonts w:ascii="標楷體" w:hAnsi="標楷體" w:cs="標楷體" w:eastAsia="標楷體"/>
                <w:sz w:val="28"/>
                <w:szCs w:val="28"/>
              </w:rPr>
              <w:t>第四級</w:t>
            </w:r>
          </w:p>
        </w:tc>
        <w:tc>
          <w:tcPr>
            <w:tcW w:w="354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399" w:right="0"/>
              <w:jc w:val="left"/>
              <w:rPr>
                <w:rFonts w:ascii="標楷體" w:hAnsi="標楷體" w:cs="標楷體" w:eastAsia="標楷體"/>
                <w:sz w:val="28"/>
                <w:szCs w:val="28"/>
              </w:rPr>
            </w:pPr>
            <w:r>
              <w:rPr>
                <w:rFonts w:ascii="標楷體" w:hAnsi="標楷體" w:cs="標楷體" w:eastAsia="標楷體"/>
                <w:sz w:val="28"/>
                <w:szCs w:val="28"/>
              </w:rPr>
              <w:t>超過</w:t>
            </w:r>
            <w:r>
              <w:rPr>
                <w:rFonts w:ascii="標楷體" w:hAnsi="標楷體" w:cs="標楷體" w:eastAsia="標楷體"/>
                <w:spacing w:val="-71"/>
                <w:sz w:val="28"/>
                <w:szCs w:val="28"/>
              </w:rPr>
              <w:t> </w:t>
            </w:r>
            <w:r>
              <w:rPr>
                <w:rFonts w:ascii="標楷體" w:hAnsi="標楷體" w:cs="標楷體" w:eastAsia="標楷體"/>
                <w:spacing w:val="-1"/>
                <w:sz w:val="28"/>
                <w:szCs w:val="28"/>
              </w:rPr>
              <w:t>50</w:t>
            </w:r>
            <w:r>
              <w:rPr>
                <w:rFonts w:ascii="標楷體" w:hAnsi="標楷體" w:cs="標楷體" w:eastAsia="標楷體"/>
                <w:spacing w:val="-72"/>
                <w:sz w:val="28"/>
                <w:szCs w:val="28"/>
              </w:rPr>
              <w:t> </w:t>
            </w:r>
            <w:r>
              <w:rPr>
                <w:rFonts w:ascii="標楷體" w:hAnsi="標楷體" w:cs="標楷體" w:eastAsia="標楷體"/>
                <w:sz w:val="28"/>
                <w:szCs w:val="28"/>
              </w:rPr>
              <w:t>萬～</w:t>
            </w:r>
            <w:r>
              <w:rPr>
                <w:rFonts w:ascii="標楷體" w:hAnsi="標楷體" w:cs="標楷體" w:eastAsia="標楷體"/>
                <w:sz w:val="28"/>
                <w:szCs w:val="28"/>
              </w:rPr>
              <w:t>60</w:t>
            </w:r>
            <w:r>
              <w:rPr>
                <w:rFonts w:ascii="標楷體" w:hAnsi="標楷體" w:cs="標楷體" w:eastAsia="標楷體"/>
                <w:spacing w:val="-72"/>
                <w:sz w:val="28"/>
                <w:szCs w:val="28"/>
              </w:rPr>
              <w:t> </w:t>
            </w:r>
            <w:r>
              <w:rPr>
                <w:rFonts w:ascii="標楷體" w:hAnsi="標楷體" w:cs="標楷體" w:eastAsia="標楷體"/>
                <w:spacing w:val="-1"/>
                <w:sz w:val="28"/>
                <w:szCs w:val="28"/>
              </w:rPr>
              <w:t>萬以下</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right="1"/>
              <w:jc w:val="center"/>
              <w:rPr>
                <w:rFonts w:ascii="標楷體" w:hAnsi="標楷體" w:cs="標楷體" w:eastAsia="標楷體"/>
                <w:sz w:val="28"/>
                <w:szCs w:val="28"/>
              </w:rPr>
            </w:pPr>
            <w:r>
              <w:rPr>
                <w:rFonts w:ascii="標楷體"/>
                <w:spacing w:val="-1"/>
                <w:sz w:val="28"/>
              </w:rPr>
              <w:t>7,500</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706" w:right="0"/>
              <w:jc w:val="left"/>
              <w:rPr>
                <w:rFonts w:ascii="標楷體" w:hAnsi="標楷體" w:cs="標楷體" w:eastAsia="標楷體"/>
                <w:sz w:val="28"/>
                <w:szCs w:val="28"/>
              </w:rPr>
            </w:pPr>
            <w:r>
              <w:rPr>
                <w:rFonts w:ascii="標楷體"/>
                <w:spacing w:val="-1"/>
                <w:sz w:val="28"/>
              </w:rPr>
              <w:t>17,000</w:t>
            </w:r>
            <w:r>
              <w:rPr>
                <w:rFonts w:ascii="標楷體"/>
                <w:sz w:val="28"/>
              </w:rPr>
            </w:r>
          </w:p>
        </w:tc>
      </w:tr>
      <w:tr>
        <w:trPr>
          <w:trHeight w:val="490" w:hRule="exact"/>
        </w:trPr>
        <w:tc>
          <w:tcPr>
            <w:tcW w:w="141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282" w:right="0"/>
              <w:jc w:val="left"/>
              <w:rPr>
                <w:rFonts w:ascii="標楷體" w:hAnsi="標楷體" w:cs="標楷體" w:eastAsia="標楷體"/>
                <w:sz w:val="28"/>
                <w:szCs w:val="28"/>
              </w:rPr>
            </w:pPr>
            <w:r>
              <w:rPr>
                <w:rFonts w:ascii="標楷體" w:hAnsi="標楷體" w:cs="標楷體" w:eastAsia="標楷體"/>
                <w:sz w:val="28"/>
                <w:szCs w:val="28"/>
              </w:rPr>
              <w:t>第五級</w:t>
            </w:r>
          </w:p>
        </w:tc>
        <w:tc>
          <w:tcPr>
            <w:tcW w:w="3542"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399" w:right="0"/>
              <w:jc w:val="left"/>
              <w:rPr>
                <w:rFonts w:ascii="標楷體" w:hAnsi="標楷體" w:cs="標楷體" w:eastAsia="標楷體"/>
                <w:sz w:val="28"/>
                <w:szCs w:val="28"/>
              </w:rPr>
            </w:pPr>
            <w:r>
              <w:rPr>
                <w:rFonts w:ascii="標楷體" w:hAnsi="標楷體" w:cs="標楷體" w:eastAsia="標楷體"/>
                <w:sz w:val="28"/>
                <w:szCs w:val="28"/>
              </w:rPr>
              <w:t>超過</w:t>
            </w:r>
            <w:r>
              <w:rPr>
                <w:rFonts w:ascii="標楷體" w:hAnsi="標楷體" w:cs="標楷體" w:eastAsia="標楷體"/>
                <w:spacing w:val="-71"/>
                <w:sz w:val="28"/>
                <w:szCs w:val="28"/>
              </w:rPr>
              <w:t> </w:t>
            </w:r>
            <w:r>
              <w:rPr>
                <w:rFonts w:ascii="標楷體" w:hAnsi="標楷體" w:cs="標楷體" w:eastAsia="標楷體"/>
                <w:spacing w:val="-1"/>
                <w:sz w:val="28"/>
                <w:szCs w:val="28"/>
              </w:rPr>
              <w:t>60</w:t>
            </w:r>
            <w:r>
              <w:rPr>
                <w:rFonts w:ascii="標楷體" w:hAnsi="標楷體" w:cs="標楷體" w:eastAsia="標楷體"/>
                <w:spacing w:val="-72"/>
                <w:sz w:val="28"/>
                <w:szCs w:val="28"/>
              </w:rPr>
              <w:t> </w:t>
            </w:r>
            <w:r>
              <w:rPr>
                <w:rFonts w:ascii="標楷體" w:hAnsi="標楷體" w:cs="標楷體" w:eastAsia="標楷體"/>
                <w:sz w:val="28"/>
                <w:szCs w:val="28"/>
              </w:rPr>
              <w:t>萬～</w:t>
            </w:r>
            <w:r>
              <w:rPr>
                <w:rFonts w:ascii="標楷體" w:hAnsi="標楷體" w:cs="標楷體" w:eastAsia="標楷體"/>
                <w:sz w:val="28"/>
                <w:szCs w:val="28"/>
              </w:rPr>
              <w:t>70</w:t>
            </w:r>
            <w:r>
              <w:rPr>
                <w:rFonts w:ascii="標楷體" w:hAnsi="標楷體" w:cs="標楷體" w:eastAsia="標楷體"/>
                <w:spacing w:val="-72"/>
                <w:sz w:val="28"/>
                <w:szCs w:val="28"/>
              </w:rPr>
              <w:t> </w:t>
            </w:r>
            <w:r>
              <w:rPr>
                <w:rFonts w:ascii="標楷體" w:hAnsi="標楷體" w:cs="標楷體" w:eastAsia="標楷體"/>
                <w:spacing w:val="-1"/>
                <w:sz w:val="28"/>
                <w:szCs w:val="28"/>
              </w:rPr>
              <w:t>萬以下</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right="1"/>
              <w:jc w:val="center"/>
              <w:rPr>
                <w:rFonts w:ascii="標楷體" w:hAnsi="標楷體" w:cs="標楷體" w:eastAsia="標楷體"/>
                <w:sz w:val="28"/>
                <w:szCs w:val="28"/>
              </w:rPr>
            </w:pPr>
            <w:r>
              <w:rPr>
                <w:rFonts w:ascii="標楷體"/>
                <w:spacing w:val="-1"/>
                <w:sz w:val="28"/>
              </w:rPr>
              <w:t>5,000</w:t>
            </w:r>
          </w:p>
        </w:tc>
        <w:tc>
          <w:tcPr>
            <w:tcW w:w="2268" w:type="dxa"/>
            <w:tcBorders>
              <w:top w:val="single" w:sz="5" w:space="0" w:color="000000"/>
              <w:left w:val="single" w:sz="5" w:space="0" w:color="000000"/>
              <w:bottom w:val="single" w:sz="5" w:space="0" w:color="000000"/>
              <w:right w:val="single" w:sz="5" w:space="0" w:color="000000"/>
            </w:tcBorders>
          </w:tcPr>
          <w:p>
            <w:pPr>
              <w:pStyle w:val="TableParagraph"/>
              <w:spacing w:line="240" w:lineRule="auto" w:before="72"/>
              <w:ind w:left="706" w:right="0"/>
              <w:jc w:val="left"/>
              <w:rPr>
                <w:rFonts w:ascii="標楷體" w:hAnsi="標楷體" w:cs="標楷體" w:eastAsia="標楷體"/>
                <w:sz w:val="28"/>
                <w:szCs w:val="28"/>
              </w:rPr>
            </w:pPr>
            <w:r>
              <w:rPr>
                <w:rFonts w:ascii="標楷體"/>
                <w:spacing w:val="-1"/>
                <w:sz w:val="28"/>
              </w:rPr>
              <w:t>12,000</w:t>
            </w:r>
            <w:r>
              <w:rPr>
                <w:rFonts w:ascii="標楷體"/>
                <w:sz w:val="28"/>
              </w:rPr>
            </w:r>
          </w:p>
        </w:tc>
      </w:tr>
    </w:tbl>
    <w:p>
      <w:pPr>
        <w:pStyle w:val="BodyText"/>
        <w:spacing w:line="240" w:lineRule="auto" w:before="72"/>
        <w:ind w:left="260" w:right="0"/>
        <w:jc w:val="left"/>
      </w:pPr>
      <w:r>
        <w:rPr>
          <w:spacing w:val="-2"/>
        </w:rPr>
        <w:t>註：私立學校採公立學校收費者，每學年補助金額比照公立學校。</w:t>
      </w:r>
    </w:p>
    <w:p>
      <w:pPr>
        <w:pStyle w:val="BodyText"/>
        <w:spacing w:line="240" w:lineRule="auto" w:before="49"/>
        <w:ind w:left="260" w:right="0"/>
        <w:jc w:val="left"/>
      </w:pPr>
      <w:r>
        <w:rPr>
          <w:spacing w:val="-1"/>
        </w:rPr>
        <w:t>（二）申請資格</w:t>
      </w:r>
    </w:p>
    <w:p>
      <w:pPr>
        <w:pStyle w:val="BodyText"/>
        <w:spacing w:line="240" w:lineRule="auto" w:before="34"/>
        <w:ind w:left="942" w:right="0"/>
        <w:jc w:val="left"/>
      </w:pPr>
      <w:r>
        <w:rPr>
          <w:rFonts w:ascii="標楷體" w:hAnsi="標楷體" w:cs="標楷體" w:eastAsia="標楷體"/>
          <w:spacing w:val="2"/>
        </w:rPr>
        <w:t>1.</w:t>
      </w:r>
      <w:r>
        <w:rPr>
          <w:spacing w:val="2"/>
        </w:rPr>
        <w:t>申請對象：有戶籍登記之中華民國國民且就讀國內大專校院具有學籍</w:t>
      </w:r>
      <w:r>
        <w:rPr/>
      </w:r>
    </w:p>
    <w:p>
      <w:pPr>
        <w:pStyle w:val="BodyText"/>
        <w:spacing w:line="261" w:lineRule="auto" w:before="34"/>
        <w:ind w:left="1223" w:right="0" w:hanging="1"/>
        <w:jc w:val="left"/>
      </w:pPr>
      <w:r>
        <w:rPr>
          <w:spacing w:val="2"/>
        </w:rPr>
        <w:t>（不</w:t>
      </w:r>
      <w:r>
        <w:rPr>
          <w:color w:val="FF0000"/>
        </w:rPr>
      </w:r>
      <w:r>
        <w:rPr>
          <w:color w:val="FF0000"/>
          <w:spacing w:val="2"/>
          <w:u w:val="single" w:color="FF0000"/>
        </w:rPr>
        <w:t>包括七年一貫制前三年</w:t>
      </w:r>
      <w:r>
        <w:rPr>
          <w:color w:val="FF0000"/>
        </w:rPr>
      </w:r>
      <w:r>
        <w:rPr>
          <w:spacing w:val="2"/>
        </w:rPr>
        <w:t>、五專前三年、空中大學及研究所在職專</w:t>
      </w:r>
      <w:r>
        <w:rPr>
          <w:spacing w:val="26"/>
        </w:rPr>
        <w:t> </w:t>
      </w:r>
      <w:r>
        <w:rPr/>
        <w:t>班</w:t>
      </w:r>
      <w:r>
        <w:rPr>
          <w:spacing w:val="-140"/>
        </w:rPr>
        <w:t>）</w:t>
      </w:r>
      <w:r>
        <w:rPr>
          <w:spacing w:val="-3"/>
        </w:rPr>
        <w:t>，</w:t>
      </w:r>
      <w:r>
        <w:rPr/>
        <w:t>於修</w:t>
      </w:r>
      <w:r>
        <w:rPr>
          <w:spacing w:val="-3"/>
        </w:rPr>
        <w:t>業</w:t>
      </w:r>
      <w:r>
        <w:rPr/>
        <w:t>年限</w:t>
      </w:r>
      <w:r>
        <w:rPr>
          <w:spacing w:val="-3"/>
        </w:rPr>
        <w:t>內</w:t>
      </w:r>
      <w:r>
        <w:rPr/>
        <w:t>之學生</w:t>
      </w:r>
      <w:r>
        <w:rPr>
          <w:spacing w:val="-3"/>
        </w:rPr>
        <w:t>，</w:t>
      </w:r>
      <w:r>
        <w:rPr/>
        <w:t>且無</w:t>
      </w:r>
      <w:r>
        <w:rPr>
          <w:spacing w:val="-3"/>
        </w:rPr>
        <w:t>下列</w:t>
      </w:r>
      <w:r>
        <w:rPr/>
        <w:t>情事之</w:t>
      </w:r>
      <w:r>
        <w:rPr>
          <w:spacing w:val="-2"/>
        </w:rPr>
        <w:t>一</w:t>
      </w:r>
      <w:r>
        <w:rPr>
          <w:color w:val="FF0000"/>
        </w:rPr>
      </w:r>
      <w:r>
        <w:rPr>
          <w:color w:val="FF0000"/>
          <w:u w:val="single" w:color="FF0000"/>
        </w:rPr>
        <w:t>者</w:t>
      </w:r>
      <w:r>
        <w:rPr>
          <w:color w:val="FF0000"/>
        </w:rPr>
      </w:r>
      <w:r>
        <w:rPr/>
        <w:t>：</w:t>
      </w:r>
    </w:p>
    <w:p>
      <w:pPr>
        <w:pStyle w:val="BodyText"/>
        <w:spacing w:line="240" w:lineRule="auto" w:before="9"/>
        <w:ind w:left="1180" w:right="0"/>
        <w:jc w:val="left"/>
      </w:pPr>
      <w:r>
        <w:rPr>
          <w:rFonts w:ascii="標楷體" w:hAnsi="標楷體" w:cs="標楷體" w:eastAsia="標楷體"/>
          <w:spacing w:val="-1"/>
        </w:rPr>
        <w:t>(1)</w:t>
      </w:r>
      <w:r>
        <w:rPr>
          <w:spacing w:val="-1"/>
        </w:rPr>
        <w:t>家庭年所得逾</w:t>
      </w:r>
      <w:r>
        <w:rPr>
          <w:spacing w:val="-71"/>
        </w:rPr>
        <w:t> </w:t>
      </w:r>
      <w:r>
        <w:rPr>
          <w:rFonts w:ascii="標楷體" w:hAnsi="標楷體" w:cs="標楷體" w:eastAsia="標楷體"/>
          <w:spacing w:val="-1"/>
        </w:rPr>
        <w:t>70</w:t>
      </w:r>
      <w:r>
        <w:rPr>
          <w:rFonts w:ascii="標楷體" w:hAnsi="標楷體" w:cs="標楷體" w:eastAsia="標楷體"/>
          <w:spacing w:val="-72"/>
        </w:rPr>
        <w:t> </w:t>
      </w:r>
      <w:r>
        <w:rPr/>
        <w:t>萬元。</w:t>
      </w:r>
    </w:p>
    <w:p>
      <w:pPr>
        <w:pStyle w:val="BodyText"/>
        <w:spacing w:line="240" w:lineRule="auto" w:before="34"/>
        <w:ind w:left="1180" w:right="0"/>
        <w:jc w:val="left"/>
      </w:pPr>
      <w:r>
        <w:rPr>
          <w:rFonts w:ascii="標楷體" w:hAnsi="標楷體" w:cs="標楷體" w:eastAsia="標楷體"/>
          <w:spacing w:val="-1"/>
        </w:rPr>
        <w:t>(2)</w:t>
      </w:r>
      <w:r>
        <w:rPr>
          <w:spacing w:val="-1"/>
        </w:rPr>
        <w:t>家庭應計列人口之利息所得合計逾</w:t>
      </w:r>
      <w:r>
        <w:rPr>
          <w:spacing w:val="-71"/>
        </w:rPr>
        <w:t> </w:t>
      </w:r>
      <w:r>
        <w:rPr>
          <w:rFonts w:ascii="標楷體" w:hAnsi="標楷體" w:cs="標楷體" w:eastAsia="標楷體"/>
        </w:rPr>
        <w:t>2</w:t>
      </w:r>
      <w:r>
        <w:rPr>
          <w:rFonts w:ascii="標楷體" w:hAnsi="標楷體" w:cs="標楷體" w:eastAsia="標楷體"/>
          <w:spacing w:val="-70"/>
        </w:rPr>
        <w:t> </w:t>
      </w:r>
      <w:r>
        <w:rPr>
          <w:spacing w:val="-1"/>
        </w:rPr>
        <w:t>萬元。利息所得來自優惠存款</w:t>
      </w:r>
    </w:p>
    <w:p>
      <w:pPr>
        <w:pStyle w:val="BodyText"/>
        <w:spacing w:line="240" w:lineRule="auto" w:before="32"/>
        <w:ind w:left="1600" w:right="0"/>
        <w:jc w:val="left"/>
      </w:pPr>
      <w:r>
        <w:rPr>
          <w:spacing w:val="-1"/>
        </w:rPr>
        <w:t>且存款本金未逾</w:t>
      </w:r>
      <w:r>
        <w:rPr>
          <w:spacing w:val="-68"/>
        </w:rPr>
        <w:t> </w:t>
      </w:r>
      <w:r>
        <w:rPr>
          <w:rFonts w:ascii="標楷體" w:hAnsi="標楷體" w:cs="標楷體" w:eastAsia="標楷體"/>
          <w:spacing w:val="-2"/>
        </w:rPr>
        <w:t>100</w:t>
      </w:r>
      <w:r>
        <w:rPr>
          <w:rFonts w:ascii="標楷體" w:hAnsi="標楷體" w:cs="標楷體" w:eastAsia="標楷體"/>
          <w:spacing w:val="-70"/>
        </w:rPr>
        <w:t> </w:t>
      </w:r>
      <w:r>
        <w:rPr>
          <w:spacing w:val="-1"/>
        </w:rPr>
        <w:t>萬元者，得檢附相關佐證資料，由學校審核認</w:t>
      </w:r>
    </w:p>
    <w:p>
      <w:pPr>
        <w:pStyle w:val="BodyText"/>
        <w:spacing w:line="240" w:lineRule="auto" w:before="34"/>
        <w:ind w:left="1600" w:right="0"/>
        <w:jc w:val="left"/>
      </w:pPr>
      <w:r>
        <w:rPr>
          <w:spacing w:val="-1"/>
        </w:rPr>
        <w:t>定，學校並應於該學年度</w:t>
      </w:r>
      <w:r>
        <w:rPr>
          <w:spacing w:val="-71"/>
        </w:rPr>
        <w:t> </w:t>
      </w:r>
      <w:r>
        <w:rPr>
          <w:rFonts w:ascii="標楷體" w:hAnsi="標楷體" w:cs="標楷體" w:eastAsia="標楷體"/>
        </w:rPr>
        <w:t>4</w:t>
      </w:r>
      <w:r>
        <w:rPr>
          <w:rFonts w:ascii="標楷體" w:hAnsi="標楷體" w:cs="標楷體" w:eastAsia="標楷體"/>
          <w:spacing w:val="-72"/>
        </w:rPr>
        <w:t> </w:t>
      </w:r>
      <w:r>
        <w:rPr>
          <w:spacing w:val="-1"/>
        </w:rPr>
        <w:t>月底前造冊報部備查。</w:t>
      </w:r>
    </w:p>
    <w:p>
      <w:pPr>
        <w:pStyle w:val="BodyText"/>
        <w:spacing w:line="261" w:lineRule="auto" w:before="34"/>
        <w:ind w:left="1418" w:right="0" w:hanging="238"/>
        <w:jc w:val="left"/>
      </w:pPr>
      <w:r>
        <w:rPr>
          <w:rFonts w:ascii="標楷體" w:hAnsi="標楷體" w:cs="標楷體" w:eastAsia="標楷體"/>
          <w:spacing w:val="-1"/>
        </w:rPr>
        <w:t>(3)</w:t>
      </w:r>
      <w:r>
        <w:rPr>
          <w:spacing w:val="-1"/>
        </w:rPr>
        <w:t>家庭應計列人口合計擁有不動產價值合計超過</w:t>
      </w:r>
      <w:r>
        <w:rPr>
          <w:spacing w:val="-68"/>
        </w:rPr>
        <w:t> </w:t>
      </w:r>
      <w:r>
        <w:rPr>
          <w:rFonts w:ascii="標楷體" w:hAnsi="標楷體" w:cs="標楷體" w:eastAsia="標楷體"/>
          <w:spacing w:val="-2"/>
        </w:rPr>
        <w:t>650</w:t>
      </w:r>
      <w:r>
        <w:rPr>
          <w:rFonts w:ascii="標楷體" w:hAnsi="標楷體" w:cs="標楷體" w:eastAsia="標楷體"/>
          <w:spacing w:val="-70"/>
        </w:rPr>
        <w:t> </w:t>
      </w:r>
      <w:r>
        <w:rPr>
          <w:spacing w:val="-1"/>
        </w:rPr>
        <w:t>萬元。但下列土</w:t>
      </w:r>
      <w:r>
        <w:rPr>
          <w:spacing w:val="23"/>
        </w:rPr>
        <w:t> </w:t>
      </w:r>
      <w:r>
        <w:rPr>
          <w:spacing w:val="-1"/>
        </w:rPr>
        <w:t>地或房屋之價值，經直轄市、縣（市）主管機關認定者得扣除：</w:t>
      </w:r>
      <w:r>
        <w:rPr>
          <w:spacing w:val="22"/>
        </w:rPr>
        <w:t> </w:t>
      </w:r>
      <w:r>
        <w:rPr>
          <w:rFonts w:ascii="標楷體" w:hAnsi="標楷體" w:cs="標楷體" w:eastAsia="標楷體"/>
          <w:spacing w:val="1"/>
        </w:rPr>
        <w:t>A</w:t>
      </w:r>
      <w:r>
        <w:rPr>
          <w:rFonts w:ascii="標楷體" w:hAnsi="標楷體" w:cs="標楷體" w:eastAsia="標楷體"/>
          <w:spacing w:val="-2"/>
        </w:rPr>
        <w:t>.</w:t>
      </w:r>
      <w:r>
        <w:rPr/>
        <w:t>未產</w:t>
      </w:r>
      <w:r>
        <w:rPr>
          <w:spacing w:val="-3"/>
        </w:rPr>
        <w:t>生</w:t>
      </w:r>
      <w:r>
        <w:rPr/>
        <w:t>經濟</w:t>
      </w:r>
      <w:r>
        <w:rPr>
          <w:spacing w:val="-3"/>
        </w:rPr>
        <w:t>效益</w:t>
      </w:r>
      <w:r>
        <w:rPr/>
        <w:t>之原住</w:t>
      </w:r>
      <w:r>
        <w:rPr>
          <w:spacing w:val="-3"/>
        </w:rPr>
        <w:t>民</w:t>
      </w:r>
      <w:r>
        <w:rPr/>
        <w:t>保留</w:t>
      </w:r>
      <w:r>
        <w:rPr>
          <w:spacing w:val="-48"/>
        </w:rPr>
        <w:t>地</w:t>
      </w:r>
      <w:r>
        <w:rPr>
          <w:spacing w:val="-46"/>
        </w:rPr>
        <w:t>；</w:t>
      </w:r>
      <w:r>
        <w:rPr>
          <w:spacing w:val="-3"/>
        </w:rPr>
        <w:t>其</w:t>
      </w:r>
      <w:r>
        <w:rPr/>
        <w:t>認定準</w:t>
      </w:r>
      <w:r>
        <w:rPr>
          <w:spacing w:val="-3"/>
        </w:rPr>
        <w:t>用</w:t>
      </w:r>
      <w:r>
        <w:rPr/>
        <w:t>未產</w:t>
      </w:r>
      <w:r>
        <w:rPr>
          <w:spacing w:val="-3"/>
        </w:rPr>
        <w:t>生經</w:t>
      </w:r>
      <w:r>
        <w:rPr/>
        <w:t>濟效益</w:t>
      </w:r>
      <w:r>
        <w:rPr>
          <w:spacing w:val="-3"/>
        </w:rPr>
        <w:t>原</w:t>
      </w:r>
      <w:r>
        <w:rPr/>
        <w:t>住</w:t>
      </w:r>
    </w:p>
    <w:p>
      <w:pPr>
        <w:pStyle w:val="BodyText"/>
        <w:spacing w:line="240" w:lineRule="auto" w:before="9"/>
        <w:ind w:left="1677" w:right="0"/>
        <w:jc w:val="left"/>
      </w:pPr>
      <w:r>
        <w:rPr>
          <w:spacing w:val="-1"/>
        </w:rPr>
        <w:t>民保留地認定標準辦理。</w:t>
      </w:r>
    </w:p>
    <w:p>
      <w:pPr>
        <w:pStyle w:val="BodyText"/>
        <w:spacing w:line="262" w:lineRule="auto" w:before="32"/>
        <w:ind w:left="1677" w:right="99" w:hanging="260"/>
        <w:jc w:val="both"/>
      </w:pPr>
      <w:r>
        <w:rPr>
          <w:rFonts w:ascii="標楷體" w:hAnsi="標楷體" w:cs="標楷體" w:eastAsia="標楷體"/>
          <w:spacing w:val="15"/>
        </w:rPr>
        <w:t>B.</w:t>
      </w:r>
      <w:r>
        <w:rPr>
          <w:spacing w:val="15"/>
        </w:rPr>
        <w:t>未產生經濟效益之公共設施保留地及具公用地役關係之既成道</w:t>
      </w:r>
      <w:r>
        <w:rPr>
          <w:spacing w:val="43"/>
        </w:rPr>
        <w:t> </w:t>
      </w:r>
      <w:r>
        <w:rPr>
          <w:spacing w:val="-36"/>
        </w:rPr>
        <w:t>路；</w:t>
      </w:r>
      <w:r>
        <w:rPr/>
        <w:t>其</w:t>
      </w:r>
      <w:r>
        <w:rPr>
          <w:spacing w:val="-3"/>
        </w:rPr>
        <w:t>認</w:t>
      </w:r>
      <w:r>
        <w:rPr/>
        <w:t>定準</w:t>
      </w:r>
      <w:r>
        <w:rPr>
          <w:spacing w:val="-3"/>
        </w:rPr>
        <w:t>用</w:t>
      </w:r>
      <w:r>
        <w:rPr/>
        <w:t>未</w:t>
      </w:r>
      <w:r>
        <w:rPr>
          <w:spacing w:val="-3"/>
        </w:rPr>
        <w:t>產</w:t>
      </w:r>
      <w:r>
        <w:rPr/>
        <w:t>生經濟</w:t>
      </w:r>
      <w:r>
        <w:rPr>
          <w:spacing w:val="-3"/>
        </w:rPr>
        <w:t>效</w:t>
      </w:r>
      <w:r>
        <w:rPr/>
        <w:t>益公</w:t>
      </w:r>
      <w:r>
        <w:rPr>
          <w:spacing w:val="-3"/>
        </w:rPr>
        <w:t>共設</w:t>
      </w:r>
      <w:r>
        <w:rPr/>
        <w:t>施保留</w:t>
      </w:r>
      <w:r>
        <w:rPr>
          <w:spacing w:val="-3"/>
        </w:rPr>
        <w:t>地</w:t>
      </w:r>
      <w:r>
        <w:rPr/>
        <w:t>及具</w:t>
      </w:r>
      <w:r>
        <w:rPr>
          <w:spacing w:val="-3"/>
        </w:rPr>
        <w:t>公用</w:t>
      </w:r>
      <w:r>
        <w:rPr/>
        <w:t>地役關係</w:t>
      </w:r>
      <w:r>
        <w:rPr/>
        <w:t> </w:t>
      </w:r>
      <w:r>
        <w:rPr>
          <w:spacing w:val="-1"/>
        </w:rPr>
        <w:t>既成道路認定標準辦理。</w:t>
      </w:r>
    </w:p>
    <w:p>
      <w:pPr>
        <w:pStyle w:val="BodyText"/>
        <w:spacing w:line="262" w:lineRule="auto" w:before="5"/>
        <w:ind w:left="1677" w:right="117" w:hanging="260"/>
        <w:jc w:val="both"/>
      </w:pPr>
      <w:r>
        <w:rPr>
          <w:rFonts w:ascii="標楷體" w:hAnsi="標楷體" w:cs="標楷體" w:eastAsia="標楷體"/>
          <w:spacing w:val="1"/>
        </w:rPr>
        <w:t>C</w:t>
      </w:r>
      <w:r>
        <w:rPr>
          <w:rFonts w:ascii="標楷體" w:hAnsi="標楷體" w:cs="標楷體" w:eastAsia="標楷體"/>
          <w:spacing w:val="-2"/>
        </w:rPr>
        <w:t>.</w:t>
      </w:r>
      <w:r>
        <w:rPr/>
        <w:t>未產</w:t>
      </w:r>
      <w:r>
        <w:rPr>
          <w:spacing w:val="-3"/>
        </w:rPr>
        <w:t>生</w:t>
      </w:r>
      <w:r>
        <w:rPr/>
        <w:t>經濟</w:t>
      </w:r>
      <w:r>
        <w:rPr>
          <w:spacing w:val="-3"/>
        </w:rPr>
        <w:t>效益</w:t>
      </w:r>
      <w:r>
        <w:rPr/>
        <w:t>之非都</w:t>
      </w:r>
      <w:r>
        <w:rPr>
          <w:spacing w:val="-3"/>
        </w:rPr>
        <w:t>市</w:t>
      </w:r>
      <w:r>
        <w:rPr/>
        <w:t>土地</w:t>
      </w:r>
      <w:r>
        <w:rPr>
          <w:spacing w:val="-3"/>
        </w:rPr>
        <w:t>之國</w:t>
      </w:r>
      <w:r>
        <w:rPr/>
        <w:t>土保安</w:t>
      </w:r>
      <w:r>
        <w:rPr>
          <w:spacing w:val="-3"/>
        </w:rPr>
        <w:t>用</w:t>
      </w:r>
      <w:r>
        <w:rPr>
          <w:spacing w:val="-25"/>
        </w:rPr>
        <w:t>地、</w:t>
      </w:r>
      <w:r>
        <w:rPr/>
        <w:t>生</w:t>
      </w:r>
      <w:r>
        <w:rPr>
          <w:spacing w:val="-3"/>
        </w:rPr>
        <w:t>態</w:t>
      </w:r>
      <w:r>
        <w:rPr/>
        <w:t>保護用</w:t>
      </w:r>
      <w:r>
        <w:rPr>
          <w:spacing w:val="-25"/>
        </w:rPr>
        <w:t>地、</w:t>
      </w:r>
      <w:r>
        <w:rPr/>
        <w:t>古</w:t>
      </w:r>
      <w:r>
        <w:rPr/>
        <w:t> </w:t>
      </w:r>
      <w:r>
        <w:rPr>
          <w:spacing w:val="-4"/>
        </w:rPr>
        <w:t>蹟保存用地、墳墓用地及水利用地；其認定準用未產生經濟效益之</w:t>
      </w:r>
      <w:r>
        <w:rPr>
          <w:spacing w:val="33"/>
        </w:rPr>
        <w:t> </w:t>
      </w:r>
      <w:r>
        <w:rPr/>
        <w:t>非都市</w:t>
      </w:r>
      <w:r>
        <w:rPr>
          <w:spacing w:val="-3"/>
        </w:rPr>
        <w:t>土</w:t>
      </w:r>
      <w:r>
        <w:rPr/>
        <w:t>地之</w:t>
      </w:r>
      <w:r>
        <w:rPr>
          <w:spacing w:val="-3"/>
        </w:rPr>
        <w:t>國土</w:t>
      </w:r>
      <w:r>
        <w:rPr/>
        <w:t>保安用</w:t>
      </w:r>
      <w:r>
        <w:rPr>
          <w:spacing w:val="-3"/>
        </w:rPr>
        <w:t>地</w:t>
      </w:r>
      <w:r>
        <w:rPr/>
        <w:t>及生</w:t>
      </w:r>
      <w:r>
        <w:rPr>
          <w:spacing w:val="-3"/>
        </w:rPr>
        <w:t>態保</w:t>
      </w:r>
      <w:r>
        <w:rPr/>
        <w:t>護用地</w:t>
      </w:r>
      <w:r>
        <w:rPr>
          <w:spacing w:val="-3"/>
        </w:rPr>
        <w:t>認</w:t>
      </w:r>
      <w:r>
        <w:rPr/>
        <w:t>定標</w:t>
      </w:r>
      <w:r>
        <w:rPr>
          <w:spacing w:val="-39"/>
        </w:rPr>
        <w:t>準</w:t>
      </w:r>
      <w:r>
        <w:rPr>
          <w:spacing w:val="-36"/>
        </w:rPr>
        <w:t>、</w:t>
      </w:r>
      <w:r>
        <w:rPr>
          <w:spacing w:val="-3"/>
        </w:rPr>
        <w:t>未</w:t>
      </w:r>
      <w:r>
        <w:rPr/>
        <w:t>產生經濟</w:t>
      </w:r>
      <w:r>
        <w:rPr/>
        <w:t> 效益之</w:t>
      </w:r>
      <w:r>
        <w:rPr>
          <w:spacing w:val="-3"/>
        </w:rPr>
        <w:t>非</w:t>
      </w:r>
      <w:r>
        <w:rPr/>
        <w:t>都市</w:t>
      </w:r>
      <w:r>
        <w:rPr>
          <w:spacing w:val="-3"/>
        </w:rPr>
        <w:t>土地</w:t>
      </w:r>
      <w:r>
        <w:rPr/>
        <w:t>之古蹟</w:t>
      </w:r>
      <w:r>
        <w:rPr>
          <w:spacing w:val="-3"/>
        </w:rPr>
        <w:t>保</w:t>
      </w:r>
      <w:r>
        <w:rPr/>
        <w:t>存用</w:t>
      </w:r>
      <w:r>
        <w:rPr>
          <w:spacing w:val="-3"/>
        </w:rPr>
        <w:t>地認</w:t>
      </w:r>
      <w:r>
        <w:rPr/>
        <w:t>定標</w:t>
      </w:r>
      <w:r>
        <w:rPr>
          <w:spacing w:val="-36"/>
        </w:rPr>
        <w:t>準</w:t>
      </w:r>
      <w:r>
        <w:rPr>
          <w:spacing w:val="-39"/>
        </w:rPr>
        <w:t>、</w:t>
      </w:r>
      <w:r>
        <w:rPr/>
        <w:t>未產</w:t>
      </w:r>
      <w:r>
        <w:rPr>
          <w:spacing w:val="-3"/>
        </w:rPr>
        <w:t>生</w:t>
      </w:r>
      <w:r>
        <w:rPr/>
        <w:t>經</w:t>
      </w:r>
      <w:r>
        <w:rPr>
          <w:spacing w:val="-3"/>
        </w:rPr>
        <w:t>濟</w:t>
      </w:r>
      <w:r>
        <w:rPr/>
        <w:t>效益之非</w:t>
      </w:r>
      <w:r>
        <w:rPr/>
        <w:t> 都市土</w:t>
      </w:r>
      <w:r>
        <w:rPr>
          <w:spacing w:val="-3"/>
        </w:rPr>
        <w:t>地</w:t>
      </w:r>
      <w:r>
        <w:rPr/>
        <w:t>墳墓</w:t>
      </w:r>
      <w:r>
        <w:rPr>
          <w:spacing w:val="-3"/>
        </w:rPr>
        <w:t>用地</w:t>
      </w:r>
      <w:r>
        <w:rPr/>
        <w:t>認定標</w:t>
      </w:r>
      <w:r>
        <w:rPr>
          <w:spacing w:val="-39"/>
        </w:rPr>
        <w:t>準</w:t>
      </w:r>
      <w:r>
        <w:rPr>
          <w:spacing w:val="-36"/>
        </w:rPr>
        <w:t>、</w:t>
      </w:r>
      <w:r>
        <w:rPr/>
        <w:t>未</w:t>
      </w:r>
      <w:r>
        <w:rPr>
          <w:spacing w:val="-3"/>
        </w:rPr>
        <w:t>產</w:t>
      </w:r>
      <w:r>
        <w:rPr/>
        <w:t>生</w:t>
      </w:r>
      <w:r>
        <w:rPr>
          <w:spacing w:val="-3"/>
        </w:rPr>
        <w:t>經</w:t>
      </w:r>
      <w:r>
        <w:rPr/>
        <w:t>濟效益</w:t>
      </w:r>
      <w:r>
        <w:rPr>
          <w:spacing w:val="-3"/>
        </w:rPr>
        <w:t>之</w:t>
      </w:r>
      <w:r>
        <w:rPr/>
        <w:t>非都</w:t>
      </w:r>
      <w:r>
        <w:rPr>
          <w:spacing w:val="-3"/>
        </w:rPr>
        <w:t>市土</w:t>
      </w:r>
      <w:r>
        <w:rPr/>
        <w:t>地之水利</w:t>
      </w:r>
      <w:r>
        <w:rPr/>
        <w:t> </w:t>
      </w:r>
      <w:r>
        <w:rPr>
          <w:spacing w:val="-1"/>
        </w:rPr>
        <w:t>用地認定標準辦理。</w:t>
      </w:r>
    </w:p>
    <w:p>
      <w:pPr>
        <w:spacing w:after="0" w:line="262" w:lineRule="auto"/>
        <w:jc w:val="both"/>
        <w:sectPr>
          <w:pgSz w:w="11910" w:h="16840"/>
          <w:pgMar w:header="0" w:footer="1232" w:top="1500" w:bottom="1420" w:left="1100" w:right="960"/>
        </w:sectPr>
      </w:pPr>
    </w:p>
    <w:p>
      <w:pPr>
        <w:pStyle w:val="BodyText"/>
        <w:spacing w:line="261" w:lineRule="auto" w:before="0"/>
        <w:ind w:left="1516" w:right="168" w:hanging="260"/>
        <w:jc w:val="both"/>
      </w:pPr>
      <w:r>
        <w:rPr>
          <w:rFonts w:ascii="標楷體" w:hAnsi="標楷體" w:cs="標楷體" w:eastAsia="標楷體"/>
          <w:spacing w:val="1"/>
        </w:rPr>
        <w:t>D</w:t>
      </w:r>
      <w:r>
        <w:rPr>
          <w:rFonts w:ascii="標楷體" w:hAnsi="標楷體" w:cs="標楷體" w:eastAsia="標楷體"/>
          <w:spacing w:val="-2"/>
        </w:rPr>
        <w:t>.</w:t>
      </w:r>
      <w:r>
        <w:rPr/>
        <w:t>祭祀</w:t>
      </w:r>
      <w:r>
        <w:rPr>
          <w:spacing w:val="-3"/>
        </w:rPr>
        <w:t>公</w:t>
      </w:r>
      <w:r>
        <w:rPr/>
        <w:t>業解</w:t>
      </w:r>
      <w:r>
        <w:rPr>
          <w:spacing w:val="-3"/>
        </w:rPr>
        <w:t>散後</w:t>
      </w:r>
      <w:r>
        <w:rPr/>
        <w:t>派下員</w:t>
      </w:r>
      <w:r>
        <w:rPr>
          <w:spacing w:val="-3"/>
        </w:rPr>
        <w:t>由</w:t>
      </w:r>
      <w:r>
        <w:rPr/>
        <w:t>分割</w:t>
      </w:r>
      <w:r>
        <w:rPr>
          <w:spacing w:val="-3"/>
        </w:rPr>
        <w:t>所得</w:t>
      </w:r>
      <w:r>
        <w:rPr/>
        <w:t>未產生</w:t>
      </w:r>
      <w:r>
        <w:rPr>
          <w:spacing w:val="-3"/>
        </w:rPr>
        <w:t>經</w:t>
      </w:r>
      <w:r>
        <w:rPr/>
        <w:t>濟效</w:t>
      </w:r>
      <w:r>
        <w:rPr>
          <w:spacing w:val="-3"/>
        </w:rPr>
        <w:t>益之</w:t>
      </w:r>
      <w:r>
        <w:rPr/>
        <w:t>土</w:t>
      </w:r>
      <w:r>
        <w:rPr>
          <w:spacing w:val="-46"/>
        </w:rPr>
        <w:t>地</w:t>
      </w:r>
      <w:r>
        <w:rPr>
          <w:spacing w:val="-48"/>
        </w:rPr>
        <w:t>；</w:t>
      </w:r>
      <w:r>
        <w:rPr/>
        <w:t>其認定</w:t>
      </w:r>
      <w:r>
        <w:rPr/>
        <w:t> </w:t>
      </w:r>
      <w:r>
        <w:rPr>
          <w:spacing w:val="6"/>
        </w:rPr>
        <w:t>準用祭祀公業解散後派下員由分割所得未產生經濟效益土地認定</w:t>
      </w:r>
      <w:r>
        <w:rPr>
          <w:spacing w:val="45"/>
        </w:rPr>
        <w:t> </w:t>
      </w:r>
      <w:r>
        <w:rPr>
          <w:spacing w:val="-1"/>
        </w:rPr>
        <w:t>標準辦理。</w:t>
      </w:r>
    </w:p>
    <w:p>
      <w:pPr>
        <w:pStyle w:val="BodyText"/>
        <w:spacing w:line="261" w:lineRule="auto" w:before="9"/>
        <w:ind w:left="1516" w:right="168" w:hanging="260"/>
        <w:jc w:val="both"/>
      </w:pPr>
      <w:r>
        <w:rPr>
          <w:rFonts w:ascii="標楷體" w:hAnsi="標楷體" w:cs="標楷體" w:eastAsia="標楷體"/>
          <w:spacing w:val="1"/>
        </w:rPr>
        <w:t>E</w:t>
      </w:r>
      <w:r>
        <w:rPr>
          <w:rFonts w:ascii="標楷體" w:hAnsi="標楷體" w:cs="標楷體" w:eastAsia="標楷體"/>
          <w:spacing w:val="-2"/>
        </w:rPr>
        <w:t>.</w:t>
      </w:r>
      <w:r>
        <w:rPr/>
        <w:t>未產</w:t>
      </w:r>
      <w:r>
        <w:rPr>
          <w:spacing w:val="-3"/>
        </w:rPr>
        <w:t>生</w:t>
      </w:r>
      <w:r>
        <w:rPr/>
        <w:t>經濟</w:t>
      </w:r>
      <w:r>
        <w:rPr>
          <w:spacing w:val="-3"/>
        </w:rPr>
        <w:t>效益</w:t>
      </w:r>
      <w:r>
        <w:rPr/>
        <w:t>之嚴重</w:t>
      </w:r>
      <w:r>
        <w:rPr>
          <w:spacing w:val="-3"/>
        </w:rPr>
        <w:t>地</w:t>
      </w:r>
      <w:r>
        <w:rPr/>
        <w:t>層下</w:t>
      </w:r>
      <w:r>
        <w:rPr>
          <w:spacing w:val="-3"/>
        </w:rPr>
        <w:t>陷區</w:t>
      </w:r>
      <w:r>
        <w:rPr/>
        <w:t>之農牧</w:t>
      </w:r>
      <w:r>
        <w:rPr>
          <w:spacing w:val="-3"/>
        </w:rPr>
        <w:t>用</w:t>
      </w:r>
      <w:r>
        <w:rPr>
          <w:spacing w:val="-25"/>
        </w:rPr>
        <w:t>地、</w:t>
      </w:r>
      <w:r>
        <w:rPr/>
        <w:t>養</w:t>
      </w:r>
      <w:r>
        <w:rPr>
          <w:spacing w:val="-3"/>
        </w:rPr>
        <w:t>殖</w:t>
      </w:r>
      <w:r>
        <w:rPr/>
        <w:t>用</w:t>
      </w:r>
      <w:r>
        <w:rPr>
          <w:spacing w:val="-25"/>
        </w:rPr>
        <w:t>地；</w:t>
      </w:r>
      <w:r>
        <w:rPr/>
        <w:t>其認定</w:t>
      </w:r>
      <w:r>
        <w:rPr/>
        <w:t> </w:t>
      </w:r>
      <w:r>
        <w:rPr>
          <w:spacing w:val="6"/>
        </w:rPr>
        <w:t>準用未產生經濟效益之嚴重地層下陷區之農牧用地及養殖用地認</w:t>
      </w:r>
      <w:r>
        <w:rPr>
          <w:spacing w:val="45"/>
        </w:rPr>
        <w:t> </w:t>
      </w:r>
      <w:r>
        <w:rPr>
          <w:spacing w:val="-1"/>
        </w:rPr>
        <w:t>定標準辦理。</w:t>
      </w:r>
    </w:p>
    <w:p>
      <w:pPr>
        <w:pStyle w:val="BodyText"/>
        <w:spacing w:line="261" w:lineRule="auto" w:before="9"/>
        <w:ind w:left="1516" w:right="109" w:hanging="260"/>
        <w:jc w:val="both"/>
      </w:pPr>
      <w:r>
        <w:rPr>
          <w:rFonts w:ascii="標楷體" w:hAnsi="標楷體" w:cs="標楷體" w:eastAsia="標楷體"/>
          <w:spacing w:val="1"/>
        </w:rPr>
        <w:t>F</w:t>
      </w:r>
      <w:r>
        <w:rPr>
          <w:rFonts w:ascii="標楷體" w:hAnsi="標楷體" w:cs="標楷體" w:eastAsia="標楷體"/>
          <w:spacing w:val="-2"/>
        </w:rPr>
        <w:t>.</w:t>
      </w:r>
      <w:r>
        <w:rPr/>
        <w:t>因天</w:t>
      </w:r>
      <w:r>
        <w:rPr>
          <w:spacing w:val="-3"/>
        </w:rPr>
        <w:t>然</w:t>
      </w:r>
      <w:r>
        <w:rPr/>
        <w:t>災害</w:t>
      </w:r>
      <w:r>
        <w:rPr>
          <w:spacing w:val="-3"/>
        </w:rPr>
        <w:t>致未</w:t>
      </w:r>
      <w:r>
        <w:rPr/>
        <w:t>產生經</w:t>
      </w:r>
      <w:r>
        <w:rPr>
          <w:spacing w:val="-3"/>
        </w:rPr>
        <w:t>濟</w:t>
      </w:r>
      <w:r>
        <w:rPr/>
        <w:t>效益</w:t>
      </w:r>
      <w:r>
        <w:rPr>
          <w:spacing w:val="-3"/>
        </w:rPr>
        <w:t>之農</w:t>
      </w:r>
      <w:r>
        <w:rPr/>
        <w:t>牧用</w:t>
      </w:r>
      <w:r>
        <w:rPr>
          <w:spacing w:val="-24"/>
        </w:rPr>
        <w:t>地</w:t>
      </w:r>
      <w:r>
        <w:rPr>
          <w:spacing w:val="-22"/>
        </w:rPr>
        <w:t>、</w:t>
      </w:r>
      <w:r>
        <w:rPr>
          <w:spacing w:val="2"/>
        </w:rPr>
        <w:t>養殖</w:t>
      </w:r>
      <w:r>
        <w:rPr/>
        <w:t>用地</w:t>
      </w:r>
      <w:r>
        <w:rPr>
          <w:spacing w:val="2"/>
        </w:rPr>
        <w:t>及林業</w:t>
      </w:r>
      <w:r>
        <w:rPr/>
        <w:t>用</w:t>
      </w:r>
      <w:r>
        <w:rPr>
          <w:spacing w:val="2"/>
        </w:rPr>
        <w:t>地</w:t>
      </w:r>
      <w:r>
        <w:rPr/>
        <w:t>；</w:t>
      </w:r>
      <w:r>
        <w:rPr/>
        <w:t> </w:t>
      </w:r>
      <w:r>
        <w:rPr>
          <w:spacing w:val="6"/>
        </w:rPr>
        <w:t>其認定準用因天然災害致未產生經濟效益之農牧用地養殖用地及</w:t>
      </w:r>
      <w:r>
        <w:rPr>
          <w:spacing w:val="45"/>
        </w:rPr>
        <w:t> </w:t>
      </w:r>
      <w:r>
        <w:rPr>
          <w:spacing w:val="-1"/>
        </w:rPr>
        <w:t>林業用地認定標準辦理。</w:t>
      </w:r>
    </w:p>
    <w:p>
      <w:pPr>
        <w:pStyle w:val="BodyText"/>
        <w:spacing w:line="261" w:lineRule="auto" w:before="9"/>
        <w:ind w:left="1020" w:right="109" w:firstLine="237"/>
        <w:jc w:val="right"/>
      </w:pPr>
      <w:r>
        <w:rPr>
          <w:rFonts w:ascii="標楷體" w:hAnsi="標楷體" w:cs="標楷體" w:eastAsia="標楷體"/>
          <w:spacing w:val="1"/>
        </w:rPr>
        <w:t>G</w:t>
      </w:r>
      <w:r>
        <w:rPr>
          <w:rFonts w:ascii="標楷體" w:hAnsi="標楷體" w:cs="標楷體" w:eastAsia="標楷體"/>
          <w:spacing w:val="-2"/>
        </w:rPr>
        <w:t>.</w:t>
      </w:r>
      <w:r>
        <w:rPr/>
        <w:t>依法</w:t>
      </w:r>
      <w:r>
        <w:rPr>
          <w:spacing w:val="-3"/>
        </w:rPr>
        <w:t>公</w:t>
      </w:r>
      <w:r>
        <w:rPr/>
        <w:t>告為</w:t>
      </w:r>
      <w:r>
        <w:rPr>
          <w:spacing w:val="-3"/>
        </w:rPr>
        <w:t>污染</w:t>
      </w:r>
      <w:r>
        <w:rPr/>
        <w:t>整治場</w:t>
      </w:r>
      <w:r>
        <w:rPr>
          <w:spacing w:val="-63"/>
        </w:rPr>
        <w:t>址</w:t>
      </w:r>
      <w:r>
        <w:rPr>
          <w:spacing w:val="-65"/>
        </w:rPr>
        <w:t>。</w:t>
      </w:r>
      <w:r>
        <w:rPr/>
        <w:t>但土</w:t>
      </w:r>
      <w:r>
        <w:rPr>
          <w:spacing w:val="-3"/>
        </w:rPr>
        <w:t>地所</w:t>
      </w:r>
      <w:r>
        <w:rPr/>
        <w:t>有人為</w:t>
      </w:r>
      <w:r>
        <w:rPr>
          <w:spacing w:val="-3"/>
        </w:rPr>
        <w:t>污</w:t>
      </w:r>
      <w:r>
        <w:rPr/>
        <w:t>染行</w:t>
      </w:r>
      <w:r>
        <w:rPr>
          <w:spacing w:val="-3"/>
        </w:rPr>
        <w:t>為</w:t>
      </w:r>
      <w:r>
        <w:rPr>
          <w:spacing w:val="-63"/>
        </w:rPr>
        <w:t>人</w:t>
      </w:r>
      <w:r>
        <w:rPr>
          <w:spacing w:val="-65"/>
        </w:rPr>
        <w:t>，</w:t>
      </w:r>
      <w:r>
        <w:rPr/>
        <w:t>不在此</w:t>
      </w:r>
      <w:r>
        <w:rPr>
          <w:spacing w:val="-56"/>
        </w:rPr>
        <w:t>限</w:t>
      </w:r>
      <w:r>
        <w:rPr/>
        <w:t>。</w:t>
      </w:r>
      <w:r>
        <w:rPr/>
        <w:t> </w:t>
      </w:r>
      <w:r>
        <w:rPr>
          <w:rFonts w:ascii="標楷體" w:hAnsi="標楷體" w:cs="標楷體" w:eastAsia="標楷體"/>
          <w:spacing w:val="1"/>
        </w:rPr>
        <w:t>(</w:t>
      </w:r>
      <w:r>
        <w:rPr>
          <w:rFonts w:ascii="標楷體" w:hAnsi="標楷體" w:cs="標楷體" w:eastAsia="標楷體"/>
          <w:spacing w:val="-2"/>
        </w:rPr>
        <w:t>4)</w:t>
      </w:r>
      <w:r>
        <w:rPr/>
        <w:t>前一學</w:t>
      </w:r>
      <w:r>
        <w:rPr>
          <w:spacing w:val="-3"/>
        </w:rPr>
        <w:t>期</w:t>
      </w:r>
      <w:r>
        <w:rPr/>
        <w:t>學業</w:t>
      </w:r>
      <w:r>
        <w:rPr>
          <w:spacing w:val="-3"/>
        </w:rPr>
        <w:t>成</w:t>
      </w:r>
      <w:r>
        <w:rPr/>
        <w:t>績平均低於</w:t>
      </w:r>
      <w:r>
        <w:rPr>
          <w:spacing w:val="-71"/>
        </w:rPr>
        <w:t> </w:t>
      </w:r>
      <w:r>
        <w:rPr>
          <w:rFonts w:ascii="標楷體" w:hAnsi="標楷體" w:cs="標楷體" w:eastAsia="標楷體"/>
          <w:spacing w:val="-2"/>
        </w:rPr>
        <w:t>6</w:t>
      </w:r>
      <w:r>
        <w:rPr>
          <w:rFonts w:ascii="標楷體" w:hAnsi="標楷體" w:cs="標楷體" w:eastAsia="標楷體"/>
        </w:rPr>
        <w:t>0</w:t>
      </w:r>
      <w:r>
        <w:rPr>
          <w:rFonts w:ascii="標楷體" w:hAnsi="標楷體" w:cs="標楷體" w:eastAsia="標楷體"/>
          <w:spacing w:val="-72"/>
        </w:rPr>
        <w:t> </w:t>
      </w:r>
      <w:r>
        <w:rPr>
          <w:spacing w:val="-68"/>
        </w:rPr>
        <w:t>分</w:t>
      </w:r>
      <w:r>
        <w:rPr>
          <w:spacing w:val="-3"/>
        </w:rPr>
        <w:t>（</w:t>
      </w:r>
      <w:r>
        <w:rPr/>
        <w:t>新生及</w:t>
      </w:r>
      <w:r>
        <w:rPr>
          <w:spacing w:val="-3"/>
        </w:rPr>
        <w:t>轉</w:t>
      </w:r>
      <w:r>
        <w:rPr/>
        <w:t>學生</w:t>
      </w:r>
      <w:r>
        <w:rPr>
          <w:spacing w:val="-3"/>
        </w:rPr>
        <w:t>除</w:t>
      </w:r>
      <w:r>
        <w:rPr>
          <w:spacing w:val="-34"/>
        </w:rPr>
        <w:t>外</w:t>
      </w:r>
      <w:r>
        <w:rPr>
          <w:spacing w:val="-36"/>
        </w:rPr>
        <w:t>，</w:t>
      </w:r>
      <w:r>
        <w:rPr/>
        <w:t>另論文</w:t>
      </w:r>
      <w:r>
        <w:rPr>
          <w:spacing w:val="-3"/>
        </w:rPr>
        <w:t>撰</w:t>
      </w:r>
      <w:r>
        <w:rPr/>
        <w:t>寫</w:t>
      </w:r>
      <w:r>
        <w:rPr/>
        <w:t> </w:t>
      </w:r>
      <w:r>
        <w:rPr>
          <w:spacing w:val="-1"/>
          <w:w w:val="95"/>
        </w:rPr>
        <w:t>階段學生如因前一學期未修習課程致無學業成績可採計，得以最近</w:t>
      </w:r>
    </w:p>
    <w:p>
      <w:pPr>
        <w:pStyle w:val="BodyText"/>
        <w:spacing w:line="240" w:lineRule="auto" w:before="9"/>
        <w:ind w:left="1439" w:right="0"/>
        <w:jc w:val="both"/>
      </w:pPr>
      <w:r>
        <w:rPr/>
        <w:t>一學期</w:t>
      </w:r>
      <w:r>
        <w:rPr>
          <w:spacing w:val="-3"/>
        </w:rPr>
        <w:t>學</w:t>
      </w:r>
      <w:r>
        <w:rPr/>
        <w:t>業成</w:t>
      </w:r>
      <w:r>
        <w:rPr>
          <w:spacing w:val="-3"/>
        </w:rPr>
        <w:t>績計</w:t>
      </w:r>
      <w:r>
        <w:rPr/>
        <w:t>算</w:t>
      </w:r>
      <w:r>
        <w:rPr>
          <w:spacing w:val="-139"/>
        </w:rPr>
        <w:t>）</w:t>
      </w:r>
      <w:r>
        <w:rPr/>
        <w:t>。</w:t>
      </w:r>
    </w:p>
    <w:p>
      <w:pPr>
        <w:pStyle w:val="BodyText"/>
        <w:spacing w:line="261" w:lineRule="auto" w:before="34"/>
        <w:ind w:left="1020" w:right="981" w:hanging="238"/>
        <w:jc w:val="left"/>
      </w:pPr>
      <w:r>
        <w:rPr>
          <w:rFonts w:ascii="標楷體" w:hAnsi="標楷體" w:cs="標楷體" w:eastAsia="標楷體"/>
          <w:spacing w:val="1"/>
        </w:rPr>
        <w:t>2</w:t>
      </w:r>
      <w:r>
        <w:rPr>
          <w:rFonts w:ascii="標楷體" w:hAnsi="標楷體" w:cs="標楷體" w:eastAsia="標楷體"/>
          <w:spacing w:val="-2"/>
        </w:rPr>
        <w:t>.</w:t>
      </w:r>
      <w:r>
        <w:rPr>
          <w:color w:val="FF0000"/>
        </w:rPr>
      </w:r>
      <w:r>
        <w:rPr>
          <w:color w:val="FF0000"/>
          <w:u w:val="single" w:color="FF0000"/>
        </w:rPr>
        <w:t>前目</w:t>
      </w:r>
      <w:r>
        <w:rPr>
          <w:color w:val="FF0000"/>
          <w:spacing w:val="-3"/>
          <w:u w:val="single" w:color="FF0000"/>
        </w:rPr>
        <w:t>家</w:t>
      </w:r>
      <w:r>
        <w:rPr>
          <w:color w:val="FF0000"/>
          <w:u w:val="single" w:color="FF0000"/>
        </w:rPr>
        <w:t>庭年</w:t>
      </w:r>
      <w:r>
        <w:rPr>
          <w:color w:val="FF0000"/>
          <w:spacing w:val="-3"/>
          <w:u w:val="single" w:color="FF0000"/>
        </w:rPr>
        <w:t>所得</w:t>
      </w:r>
      <w:r>
        <w:rPr>
          <w:color w:val="FF0000"/>
          <w:u w:val="single" w:color="FF0000"/>
        </w:rPr>
        <w:t>總額（</w:t>
      </w:r>
      <w:r>
        <w:rPr>
          <w:color w:val="FF0000"/>
          <w:spacing w:val="-3"/>
          <w:u w:val="single" w:color="FF0000"/>
        </w:rPr>
        <w:t>包</w:t>
      </w:r>
      <w:r>
        <w:rPr>
          <w:color w:val="FF0000"/>
          <w:u w:val="single" w:color="FF0000"/>
        </w:rPr>
        <w:t>括分</w:t>
      </w:r>
      <w:r>
        <w:rPr>
          <w:color w:val="FF0000"/>
          <w:spacing w:val="-3"/>
          <w:u w:val="single" w:color="FF0000"/>
        </w:rPr>
        <w:t>離課</w:t>
      </w:r>
      <w:r>
        <w:rPr>
          <w:color w:val="FF0000"/>
          <w:u w:val="single" w:color="FF0000"/>
        </w:rPr>
        <w:t>稅所</w:t>
      </w:r>
      <w:r>
        <w:rPr>
          <w:color w:val="FF0000"/>
          <w:spacing w:val="-3"/>
          <w:u w:val="single" w:color="FF0000"/>
        </w:rPr>
        <w:t>得</w:t>
      </w:r>
      <w:r>
        <w:rPr>
          <w:color w:val="FF0000"/>
          <w:spacing w:val="-140"/>
          <w:u w:val="single" w:color="FF0000"/>
        </w:rPr>
        <w:t>）</w:t>
      </w:r>
      <w:r>
        <w:rPr>
          <w:color w:val="FF0000"/>
          <w:u w:val="single" w:color="FF0000"/>
        </w:rPr>
        <w:t>，</w:t>
      </w:r>
      <w:r>
        <w:rPr>
          <w:color w:val="FF0000"/>
          <w:spacing w:val="-3"/>
          <w:u w:val="single" w:color="FF0000"/>
        </w:rPr>
        <w:t>其</w:t>
      </w:r>
      <w:r>
        <w:rPr>
          <w:color w:val="FF0000"/>
          <w:u w:val="single" w:color="FF0000"/>
        </w:rPr>
        <w:t>計算</w:t>
      </w:r>
      <w:r>
        <w:rPr>
          <w:color w:val="FF0000"/>
          <w:spacing w:val="-3"/>
          <w:u w:val="single" w:color="FF0000"/>
        </w:rPr>
        <w:t>方</w:t>
      </w:r>
      <w:r>
        <w:rPr>
          <w:color w:val="FF0000"/>
          <w:u w:val="single" w:color="FF0000"/>
        </w:rPr>
        <w:t>式如下：</w:t>
      </w:r>
      <w:r>
        <w:rPr>
          <w:color w:val="FF0000"/>
        </w:rPr>
      </w:r>
      <w:r>
        <w:rPr>
          <w:color w:val="FF0000"/>
        </w:rPr>
        <w:t> </w:t>
      </w:r>
      <w:r>
        <w:rPr>
          <w:rFonts w:ascii="標楷體" w:hAnsi="標楷體" w:cs="標楷體" w:eastAsia="標楷體"/>
          <w:color w:val="FF0000"/>
        </w:rPr>
      </w:r>
      <w:r>
        <w:rPr>
          <w:rFonts w:ascii="標楷體" w:hAnsi="標楷體" w:cs="標楷體" w:eastAsia="標楷體"/>
          <w:color w:val="FF0000"/>
          <w:spacing w:val="-1"/>
          <w:u w:val="single" w:color="FF0000"/>
        </w:rPr>
        <w:t>(1)</w:t>
      </w:r>
      <w:r>
        <w:rPr>
          <w:color w:val="FF0000"/>
          <w:spacing w:val="-1"/>
          <w:u w:val="single" w:color="FF0000"/>
        </w:rPr>
        <w:t>學生未婚者：</w:t>
      </w:r>
      <w:r>
        <w:rPr>
          <w:color w:val="FF0000"/>
        </w:rPr>
      </w:r>
      <w:r>
        <w:rPr/>
      </w:r>
    </w:p>
    <w:p>
      <w:pPr>
        <w:pStyle w:val="BodyText"/>
        <w:spacing w:line="262" w:lineRule="auto" w:before="9"/>
        <w:ind w:left="1257" w:right="976"/>
        <w:jc w:val="left"/>
      </w:pPr>
      <w:r>
        <w:rPr>
          <w:rFonts w:ascii="標楷體" w:hAnsi="標楷體" w:cs="標楷體" w:eastAsia="標楷體"/>
          <w:color w:val="FF0000"/>
        </w:rPr>
      </w:r>
      <w:r>
        <w:rPr>
          <w:rFonts w:ascii="標楷體" w:hAnsi="標楷體" w:cs="標楷體" w:eastAsia="標楷體"/>
          <w:color w:val="FF0000"/>
          <w:spacing w:val="-1"/>
          <w:u w:val="single" w:color="FF0000"/>
        </w:rPr>
        <w:t>A.</w:t>
      </w:r>
      <w:r>
        <w:rPr>
          <w:color w:val="FF0000"/>
          <w:spacing w:val="-1"/>
          <w:u w:val="single" w:color="FF0000"/>
        </w:rPr>
        <w:t>未成年：與其法定代理人合計。</w:t>
      </w:r>
      <w:r>
        <w:rPr>
          <w:color w:val="FF0000"/>
        </w:rPr>
      </w:r>
      <w:r>
        <w:rPr>
          <w:color w:val="FF0000"/>
        </w:rPr>
        <w:t> </w:t>
      </w:r>
      <w:r>
        <w:rPr>
          <w:rFonts w:ascii="標楷體" w:hAnsi="標楷體" w:cs="標楷體" w:eastAsia="標楷體"/>
          <w:color w:val="FF0000"/>
        </w:rPr>
      </w:r>
      <w:r>
        <w:rPr>
          <w:rFonts w:ascii="標楷體" w:hAnsi="標楷體" w:cs="標楷體" w:eastAsia="標楷體"/>
          <w:color w:val="FF0000"/>
        </w:rPr>
        <w:t> </w:t>
      </w:r>
      <w:r>
        <w:rPr>
          <w:rFonts w:ascii="標楷體" w:hAnsi="標楷體" w:cs="標楷體" w:eastAsia="標楷體"/>
          <w:color w:val="FF0000"/>
          <w:spacing w:val="-1"/>
          <w:u w:val="single" w:color="FF0000"/>
        </w:rPr>
        <w:t>B.</w:t>
      </w:r>
      <w:r>
        <w:rPr>
          <w:color w:val="FF0000"/>
          <w:spacing w:val="-1"/>
          <w:u w:val="single" w:color="FF0000"/>
        </w:rPr>
        <w:t>已成年：與其父母合計。</w:t>
      </w:r>
      <w:r>
        <w:rPr>
          <w:color w:val="FF0000"/>
        </w:rPr>
      </w:r>
      <w:r>
        <w:rPr/>
      </w:r>
    </w:p>
    <w:p>
      <w:pPr>
        <w:pStyle w:val="BodyText"/>
        <w:spacing w:line="262" w:lineRule="auto" w:before="5"/>
        <w:ind w:left="1020" w:right="976"/>
        <w:jc w:val="left"/>
      </w:pPr>
      <w:r>
        <w:rPr>
          <w:rFonts w:ascii="標楷體" w:hAnsi="標楷體" w:cs="標楷體" w:eastAsia="標楷體"/>
          <w:color w:val="FF0000"/>
        </w:rPr>
      </w:r>
      <w:r>
        <w:rPr>
          <w:rFonts w:ascii="標楷體" w:hAnsi="標楷體" w:cs="標楷體" w:eastAsia="標楷體"/>
          <w:color w:val="FF0000"/>
          <w:spacing w:val="-1"/>
          <w:u w:val="single" w:color="FF0000"/>
        </w:rPr>
        <w:t>(2)</w:t>
      </w:r>
      <w:r>
        <w:rPr>
          <w:color w:val="FF0000"/>
          <w:spacing w:val="-1"/>
          <w:u w:val="single" w:color="FF0000"/>
        </w:rPr>
        <w:t>學生已婚者：與其配偶合計。</w:t>
      </w:r>
      <w:r>
        <w:rPr>
          <w:color w:val="FF0000"/>
        </w:rPr>
      </w:r>
      <w:r>
        <w:rPr>
          <w:color w:val="FF0000"/>
        </w:rPr>
        <w:t> </w:t>
      </w:r>
      <w:r>
        <w:rPr>
          <w:rFonts w:ascii="標楷體" w:hAnsi="標楷體" w:cs="標楷體" w:eastAsia="標楷體"/>
          <w:color w:val="FF0000"/>
        </w:rPr>
      </w:r>
      <w:r>
        <w:rPr>
          <w:rFonts w:ascii="標楷體" w:hAnsi="標楷體" w:cs="標楷體" w:eastAsia="標楷體"/>
          <w:color w:val="FF0000"/>
        </w:rPr>
        <w:t> </w:t>
      </w:r>
      <w:r>
        <w:rPr>
          <w:rFonts w:ascii="標楷體" w:hAnsi="標楷體" w:cs="標楷體" w:eastAsia="標楷體"/>
          <w:color w:val="FF0000"/>
          <w:spacing w:val="-1"/>
          <w:u w:val="single" w:color="FF0000"/>
        </w:rPr>
        <w:t>(3)</w:t>
      </w:r>
      <w:r>
        <w:rPr>
          <w:color w:val="FF0000"/>
          <w:spacing w:val="-1"/>
          <w:u w:val="single" w:color="FF0000"/>
        </w:rPr>
        <w:t>學生離婚或配偶死亡者：為其本人之所得總額。</w:t>
      </w:r>
      <w:r>
        <w:rPr>
          <w:color w:val="FF0000"/>
        </w:rPr>
      </w:r>
      <w:r>
        <w:rPr/>
      </w:r>
    </w:p>
    <w:p>
      <w:pPr>
        <w:pStyle w:val="BodyText"/>
        <w:spacing w:line="261" w:lineRule="auto" w:before="8"/>
        <w:ind w:left="952" w:right="172" w:hanging="245"/>
        <w:jc w:val="both"/>
      </w:pPr>
      <w:r>
        <w:rPr>
          <w:rFonts w:ascii="標楷體" w:hAnsi="標楷體" w:cs="標楷體" w:eastAsia="標楷體"/>
          <w:color w:val="FF0000"/>
        </w:rPr>
        <w:t>3.</w:t>
      </w:r>
      <w:r>
        <w:rPr>
          <w:color w:val="FF0000"/>
        </w:rPr>
      </w:r>
      <w:r>
        <w:rPr>
          <w:color w:val="FF0000"/>
          <w:u w:val="single" w:color="FF0000"/>
        </w:rPr>
        <w:t>前目之</w:t>
      </w:r>
      <w:r>
        <w:rPr>
          <w:rFonts w:ascii="標楷體" w:hAnsi="標楷體" w:cs="標楷體" w:eastAsia="標楷體"/>
          <w:color w:val="FF0000"/>
          <w:u w:val="single" w:color="FF0000"/>
        </w:rPr>
        <w:t>(1)</w:t>
      </w:r>
      <w:r>
        <w:rPr>
          <w:color w:val="FF0000"/>
          <w:u w:val="single" w:color="FF0000"/>
        </w:rPr>
        <w:t>學生因父母離婚、遺棄或其他特殊因素，與父母或法定代理</w:t>
      </w:r>
      <w:r>
        <w:rPr>
          <w:color w:val="FF0000"/>
        </w:rPr>
      </w:r>
      <w:r>
        <w:rPr>
          <w:color w:val="FF0000"/>
          <w:spacing w:val="24"/>
        </w:rPr>
        <w:t> </w:t>
      </w:r>
      <w:r>
        <w:rPr>
          <w:color w:val="FF0000"/>
          <w:spacing w:val="-4"/>
          <w:u w:val="single" w:color="FF0000"/>
        </w:rPr>
        <w:t>人合計顯失公平者，得具明理由，並檢具相關文件資料，經學校審查認</w:t>
      </w:r>
      <w:r>
        <w:rPr>
          <w:color w:val="FF0000"/>
        </w:rPr>
      </w:r>
      <w:r>
        <w:rPr>
          <w:color w:val="FF0000"/>
          <w:spacing w:val="49"/>
        </w:rPr>
        <w:t> </w:t>
      </w:r>
      <w:r>
        <w:rPr>
          <w:color w:val="FF0000"/>
          <w:spacing w:val="-2"/>
          <w:u w:val="single" w:color="FF0000"/>
        </w:rPr>
        <w:t>定後，該父母或法定代理人免予合計。</w:t>
      </w:r>
      <w:r>
        <w:rPr>
          <w:color w:val="FF0000"/>
        </w:rPr>
      </w:r>
      <w:r>
        <w:rPr/>
      </w:r>
    </w:p>
    <w:p>
      <w:pPr>
        <w:pStyle w:val="BodyText"/>
        <w:spacing w:line="240" w:lineRule="auto" w:before="9"/>
        <w:ind w:left="100" w:right="0"/>
        <w:jc w:val="left"/>
      </w:pPr>
      <w:r>
        <w:rPr>
          <w:spacing w:val="-1"/>
        </w:rPr>
        <w:t>（三）補助範圍</w:t>
      </w:r>
    </w:p>
    <w:p>
      <w:pPr>
        <w:pStyle w:val="BodyText"/>
        <w:spacing w:line="314" w:lineRule="auto" w:before="97"/>
        <w:ind w:left="1063" w:right="0" w:hanging="281"/>
        <w:jc w:val="left"/>
      </w:pPr>
      <w:r>
        <w:rPr>
          <w:rFonts w:ascii="標楷體" w:hAnsi="標楷體" w:cs="標楷體" w:eastAsia="標楷體"/>
          <w:spacing w:val="2"/>
        </w:rPr>
        <w:t>1.</w:t>
      </w:r>
      <w:r>
        <w:rPr>
          <w:spacing w:val="2"/>
        </w:rPr>
        <w:t>本項補助範圍包含學費、雜費、學分費、學分學雜費、學雜費基數，</w:t>
      </w:r>
      <w:r>
        <w:rPr>
          <w:spacing w:val="24"/>
        </w:rPr>
        <w:t> </w:t>
      </w:r>
      <w:r>
        <w:rPr>
          <w:spacing w:val="-1"/>
        </w:rPr>
        <w:t>但不包含延長修業年限、重修及補修等就學費用。</w:t>
      </w:r>
    </w:p>
    <w:p>
      <w:pPr>
        <w:pStyle w:val="BodyText"/>
        <w:spacing w:line="314" w:lineRule="auto"/>
        <w:ind w:left="870" w:right="173" w:hanging="89"/>
        <w:jc w:val="both"/>
      </w:pPr>
      <w:r>
        <w:rPr>
          <w:rFonts w:ascii="標楷體" w:hAnsi="標楷體" w:cs="標楷體" w:eastAsia="標楷體"/>
          <w:spacing w:val="-1"/>
        </w:rPr>
        <w:t>2.</w:t>
      </w:r>
      <w:r>
        <w:rPr>
          <w:spacing w:val="-1"/>
        </w:rPr>
        <w:t>學生轉學、休學、退學、遭開除學籍或其他情形之助學金核發方式：</w:t>
      </w:r>
      <w:r>
        <w:rPr>
          <w:spacing w:val="22"/>
        </w:rPr>
        <w:t> </w:t>
      </w:r>
      <w:r>
        <w:rPr>
          <w:rFonts w:ascii="標楷體" w:hAnsi="標楷體" w:cs="標楷體" w:eastAsia="標楷體"/>
          <w:spacing w:val="-1"/>
        </w:rPr>
        <w:t>(1)</w:t>
      </w:r>
      <w:r>
        <w:rPr>
          <w:rFonts w:ascii="標楷體" w:hAnsi="標楷體" w:cs="標楷體" w:eastAsia="標楷體"/>
          <w:spacing w:val="-24"/>
        </w:rPr>
        <w:t> </w:t>
      </w:r>
      <w:r>
        <w:rPr/>
        <w:t>學生未完成上學期學業（如休學、退學或遭開除學籍）者，不予核</w:t>
      </w:r>
    </w:p>
    <w:p>
      <w:pPr>
        <w:pStyle w:val="BodyText"/>
        <w:spacing w:line="314" w:lineRule="auto"/>
        <w:ind w:left="1408" w:right="173"/>
        <w:jc w:val="both"/>
      </w:pPr>
      <w:r>
        <w:rPr/>
        <w:t>發；學生未完成下學期學業（如休學、退學或遭開除學籍）者，已</w:t>
      </w:r>
      <w:r>
        <w:rPr>
          <w:spacing w:val="32"/>
        </w:rPr>
        <w:t> </w:t>
      </w:r>
      <w:r>
        <w:rPr/>
        <w:t>核發之助學金不予追繳，但復學或再行入學時，該學年度已核發的</w:t>
      </w:r>
      <w:r>
        <w:rPr>
          <w:spacing w:val="32"/>
        </w:rPr>
        <w:t> </w:t>
      </w:r>
      <w:r>
        <w:rPr>
          <w:spacing w:val="-1"/>
        </w:rPr>
        <w:t>助學金，不再重複核給。</w:t>
      </w:r>
    </w:p>
    <w:p>
      <w:pPr>
        <w:pStyle w:val="BodyText"/>
        <w:spacing w:line="240" w:lineRule="auto"/>
        <w:ind w:left="871" w:right="0"/>
        <w:jc w:val="left"/>
      </w:pPr>
      <w:r>
        <w:rPr>
          <w:rFonts w:ascii="標楷體" w:hAnsi="標楷體" w:cs="標楷體" w:eastAsia="標楷體"/>
          <w:spacing w:val="-1"/>
        </w:rPr>
        <w:t>(2)</w:t>
      </w:r>
      <w:r>
        <w:rPr>
          <w:rFonts w:ascii="標楷體" w:hAnsi="標楷體" w:cs="標楷體" w:eastAsia="標楷體"/>
          <w:spacing w:val="-24"/>
        </w:rPr>
        <w:t> </w:t>
      </w:r>
      <w:r>
        <w:rPr>
          <w:spacing w:val="-1"/>
        </w:rPr>
        <w:t>學生完成上學期學業後轉入新學校就學者，由轉入學校核發。</w:t>
      </w:r>
    </w:p>
    <w:p>
      <w:pPr>
        <w:pStyle w:val="BodyText"/>
        <w:spacing w:line="240" w:lineRule="auto" w:before="113"/>
        <w:ind w:left="871" w:right="0"/>
        <w:jc w:val="left"/>
      </w:pPr>
      <w:r>
        <w:rPr>
          <w:rFonts w:ascii="標楷體" w:hAnsi="標楷體" w:cs="標楷體" w:eastAsia="標楷體"/>
          <w:spacing w:val="-1"/>
        </w:rPr>
        <w:t>(3)</w:t>
      </w:r>
      <w:r>
        <w:rPr>
          <w:rFonts w:ascii="標楷體" w:hAnsi="標楷體" w:cs="標楷體" w:eastAsia="標楷體"/>
          <w:spacing w:val="-24"/>
        </w:rPr>
        <w:t> </w:t>
      </w:r>
      <w:r>
        <w:rPr>
          <w:spacing w:val="-1"/>
        </w:rPr>
        <w:t>學生完成上學期學業後下學期不再就學者，核發</w:t>
      </w:r>
      <w:r>
        <w:rPr>
          <w:spacing w:val="-70"/>
        </w:rPr>
        <w:t> </w:t>
      </w:r>
      <w:r>
        <w:rPr>
          <w:rFonts w:ascii="標楷體" w:hAnsi="標楷體" w:cs="標楷體" w:eastAsia="標楷體"/>
          <w:spacing w:val="-2"/>
        </w:rPr>
        <w:t>1/2</w:t>
      </w:r>
      <w:r>
        <w:rPr>
          <w:rFonts w:ascii="標楷體" w:hAnsi="標楷體" w:cs="標楷體" w:eastAsia="標楷體"/>
          <w:spacing w:val="-72"/>
        </w:rPr>
        <w:t> </w:t>
      </w:r>
      <w:r>
        <w:rPr>
          <w:spacing w:val="-1"/>
        </w:rPr>
        <w:t>補助金額。</w:t>
      </w:r>
    </w:p>
    <w:p>
      <w:pPr>
        <w:spacing w:after="0" w:line="240" w:lineRule="auto"/>
        <w:jc w:val="left"/>
        <w:sectPr>
          <w:pgSz w:w="11910" w:h="16840"/>
          <w:pgMar w:header="0" w:footer="1232" w:top="1440" w:bottom="1420" w:left="1260" w:right="900"/>
        </w:sectPr>
      </w:pPr>
    </w:p>
    <w:p>
      <w:pPr>
        <w:pStyle w:val="BodyText"/>
        <w:spacing w:line="361" w:lineRule="exact" w:before="0"/>
        <w:ind w:left="751" w:right="0"/>
        <w:jc w:val="left"/>
      </w:pPr>
      <w:r>
        <w:rPr>
          <w:rFonts w:ascii="標楷體" w:hAnsi="標楷體" w:cs="標楷體" w:eastAsia="標楷體"/>
          <w:spacing w:val="-1"/>
        </w:rPr>
        <w:t>(4)</w:t>
      </w:r>
      <w:r>
        <w:rPr>
          <w:rFonts w:ascii="標楷體" w:hAnsi="標楷體" w:cs="標楷體" w:eastAsia="標楷體"/>
          <w:spacing w:val="-24"/>
        </w:rPr>
        <w:t> </w:t>
      </w:r>
      <w:r>
        <w:rPr>
          <w:spacing w:val="-1"/>
        </w:rPr>
        <w:t>學生下學期改申請其他補助者，核發</w:t>
      </w:r>
      <w:r>
        <w:rPr>
          <w:spacing w:val="-70"/>
        </w:rPr>
        <w:t> </w:t>
      </w:r>
      <w:r>
        <w:rPr>
          <w:rFonts w:ascii="標楷體" w:hAnsi="標楷體" w:cs="標楷體" w:eastAsia="標楷體"/>
          <w:spacing w:val="-1"/>
        </w:rPr>
        <w:t>1/2</w:t>
      </w:r>
      <w:r>
        <w:rPr>
          <w:rFonts w:ascii="標楷體" w:hAnsi="標楷體" w:cs="標楷體" w:eastAsia="標楷體"/>
          <w:spacing w:val="-72"/>
        </w:rPr>
        <w:t> </w:t>
      </w:r>
      <w:r>
        <w:rPr>
          <w:spacing w:val="-1"/>
        </w:rPr>
        <w:t>補助金額。</w:t>
      </w:r>
    </w:p>
    <w:p>
      <w:pPr>
        <w:pStyle w:val="BodyText"/>
        <w:spacing w:line="314" w:lineRule="auto" w:before="113"/>
        <w:ind w:left="943" w:right="112" w:hanging="281"/>
        <w:jc w:val="both"/>
      </w:pPr>
      <w:r>
        <w:rPr>
          <w:rFonts w:ascii="標楷體" w:hAnsi="標楷體" w:cs="標楷體" w:eastAsia="標楷體"/>
          <w:spacing w:val="2"/>
        </w:rPr>
        <w:t>3.</w:t>
      </w:r>
      <w:r>
        <w:rPr>
          <w:spacing w:val="2"/>
        </w:rPr>
        <w:t>該學年度實際繳納的學費、雜費、學分費、學分學雜費、學雜費基數</w:t>
      </w:r>
      <w:r>
        <w:rPr>
          <w:spacing w:val="28"/>
        </w:rPr>
        <w:t> </w:t>
      </w:r>
      <w:r>
        <w:rPr>
          <w:spacing w:val="-1"/>
        </w:rPr>
        <w:t>如低於本計畫補助標準，僅得補助該學年度實際繳納數額。</w:t>
      </w:r>
    </w:p>
    <w:p>
      <w:pPr>
        <w:pStyle w:val="BodyText"/>
        <w:spacing w:line="314" w:lineRule="auto"/>
        <w:ind w:left="943" w:right="113" w:hanging="281"/>
        <w:jc w:val="both"/>
      </w:pPr>
      <w:r>
        <w:rPr>
          <w:rFonts w:ascii="標楷體" w:hAnsi="標楷體" w:cs="標楷體" w:eastAsia="標楷體"/>
          <w:spacing w:val="2"/>
        </w:rPr>
        <w:t>4.</w:t>
      </w:r>
      <w:r>
        <w:rPr>
          <w:spacing w:val="2"/>
        </w:rPr>
        <w:t>同一教育階段所就讀之相當年級已領有助學金者，除就讀學士後學系</w:t>
      </w:r>
      <w:r>
        <w:rPr>
          <w:spacing w:val="29"/>
        </w:rPr>
        <w:t> </w:t>
      </w:r>
      <w:r>
        <w:rPr>
          <w:spacing w:val="-1"/>
        </w:rPr>
        <w:t>者外，不得重複申領。</w:t>
      </w:r>
    </w:p>
    <w:p>
      <w:pPr>
        <w:pStyle w:val="BodyText"/>
        <w:spacing w:line="314" w:lineRule="auto"/>
        <w:ind w:left="943" w:right="112" w:hanging="281"/>
        <w:jc w:val="both"/>
      </w:pPr>
      <w:r>
        <w:rPr>
          <w:rFonts w:ascii="標楷體" w:hAnsi="標楷體" w:cs="標楷體" w:eastAsia="標楷體"/>
          <w:spacing w:val="2"/>
        </w:rPr>
        <w:t>5.</w:t>
      </w:r>
      <w:r>
        <w:rPr>
          <w:spacing w:val="2"/>
        </w:rPr>
        <w:t>已申請本部各類學雜費減免及政府其他助學措施（人事行政</w:t>
      </w:r>
      <w:r>
        <w:rPr>
          <w:spacing w:val="2"/>
          <w:u w:val="single" w:color="000000"/>
        </w:rPr>
        <w:t>總處</w:t>
      </w:r>
      <w:r>
        <w:rPr>
          <w:spacing w:val="2"/>
        </w:rPr>
        <w:t>公教</w:t>
      </w:r>
      <w:r>
        <w:rPr>
          <w:spacing w:val="29"/>
        </w:rPr>
        <w:t> </w:t>
      </w:r>
      <w:r>
        <w:rPr>
          <w:spacing w:val="2"/>
        </w:rPr>
        <w:t>人員子女教育補助費、法務部被害人子女就學補助、法務部受刑人子</w:t>
      </w:r>
      <w:r>
        <w:rPr>
          <w:spacing w:val="30"/>
        </w:rPr>
        <w:t> </w:t>
      </w:r>
      <w:r>
        <w:rPr>
          <w:spacing w:val="2"/>
        </w:rPr>
        <w:t>女就學補助、臺北市失業勞工子女就學費用補助、新北市失業勞工子</w:t>
      </w:r>
      <w:r>
        <w:rPr>
          <w:spacing w:val="30"/>
        </w:rPr>
        <w:t> </w:t>
      </w:r>
      <w:r>
        <w:rPr>
          <w:spacing w:val="2"/>
        </w:rPr>
        <w:t>女就學費用補助、勞動部失業勞工子女就學補助、衛生福利部社會及</w:t>
      </w:r>
      <w:r>
        <w:rPr>
          <w:spacing w:val="30"/>
        </w:rPr>
        <w:t> </w:t>
      </w:r>
      <w:r>
        <w:rPr>
          <w:spacing w:val="2"/>
        </w:rPr>
        <w:t>家庭署單親培力計畫學費、學雜費及學分費補助、行政院農業委員會</w:t>
      </w:r>
      <w:r>
        <w:rPr>
          <w:spacing w:val="30"/>
        </w:rPr>
        <w:t> </w:t>
      </w:r>
      <w:r>
        <w:rPr>
          <w:spacing w:val="2"/>
        </w:rPr>
        <w:t>農漁民子女就學獎助學金、行政院國軍退除役官兵輔導委員會榮民子</w:t>
      </w:r>
      <w:r>
        <w:rPr>
          <w:spacing w:val="30"/>
        </w:rPr>
        <w:t> </w:t>
      </w:r>
      <w:r>
        <w:rPr>
          <w:spacing w:val="-1"/>
        </w:rPr>
        <w:t>女就學補助等）者，不得再申請本計畫的助學金。</w:t>
      </w:r>
    </w:p>
    <w:p>
      <w:pPr>
        <w:pStyle w:val="BodyText"/>
        <w:spacing w:line="240" w:lineRule="auto"/>
        <w:ind w:right="0"/>
        <w:jc w:val="left"/>
      </w:pPr>
      <w:bookmarkStart w:name="（四）辦理方式" w:id="1"/>
      <w:bookmarkEnd w:id="1"/>
      <w:r>
        <w:rPr/>
      </w:r>
      <w:r>
        <w:rPr>
          <w:spacing w:val="-1"/>
        </w:rPr>
        <w:t>（四）辦理方式</w:t>
      </w:r>
    </w:p>
    <w:p>
      <w:pPr>
        <w:pStyle w:val="BodyText"/>
        <w:spacing w:line="261" w:lineRule="auto" w:before="49"/>
        <w:ind w:left="943" w:right="116" w:hanging="281"/>
        <w:jc w:val="both"/>
      </w:pPr>
      <w:r>
        <w:rPr>
          <w:rFonts w:ascii="標楷體" w:hAnsi="標楷體" w:cs="標楷體" w:eastAsia="標楷體"/>
          <w:spacing w:val="-2"/>
        </w:rPr>
        <w:t>1.</w:t>
      </w:r>
      <w:r>
        <w:rPr>
          <w:spacing w:val="-2"/>
        </w:rPr>
        <w:t>各校應於學校網頁建置專區</w:t>
      </w:r>
      <w:r>
        <w:rPr>
          <w:rFonts w:ascii="標楷體" w:hAnsi="標楷體" w:cs="標楷體" w:eastAsia="標楷體"/>
          <w:spacing w:val="-2"/>
        </w:rPr>
        <w:t>(</w:t>
      </w:r>
      <w:r>
        <w:rPr>
          <w:spacing w:val="-2"/>
        </w:rPr>
        <w:t>包含本計畫實施措施之助學金、生活助學</w:t>
      </w:r>
      <w:r>
        <w:rPr>
          <w:spacing w:val="21"/>
        </w:rPr>
        <w:t> </w:t>
      </w:r>
      <w:r>
        <w:rPr>
          <w:spacing w:val="-3"/>
        </w:rPr>
        <w:t>金、緊急紓困助學金、住宿優惠</w:t>
      </w:r>
      <w:r>
        <w:rPr>
          <w:rFonts w:ascii="標楷體" w:hAnsi="標楷體" w:cs="標楷體" w:eastAsia="標楷體"/>
          <w:spacing w:val="-3"/>
        </w:rPr>
        <w:t>)</w:t>
      </w:r>
      <w:r>
        <w:rPr>
          <w:spacing w:val="-3"/>
        </w:rPr>
        <w:t>，主動公告相關申請資訊；若知悉有</w:t>
      </w:r>
      <w:r>
        <w:rPr>
          <w:spacing w:val="57"/>
        </w:rPr>
        <w:t> </w:t>
      </w:r>
      <w:r>
        <w:rPr>
          <w:spacing w:val="-1"/>
        </w:rPr>
        <w:t>就學困難之學生，亦應予主動協助。</w:t>
      </w:r>
    </w:p>
    <w:p>
      <w:pPr>
        <w:pStyle w:val="BodyText"/>
        <w:spacing w:line="262" w:lineRule="auto" w:before="9"/>
        <w:ind w:left="943" w:right="115" w:hanging="281"/>
        <w:jc w:val="both"/>
      </w:pPr>
      <w:r>
        <w:rPr>
          <w:rFonts w:ascii="標楷體" w:hAnsi="標楷體" w:cs="標楷體" w:eastAsia="標楷體"/>
          <w:spacing w:val="-1"/>
        </w:rPr>
        <w:t>2.</w:t>
      </w:r>
      <w:r>
        <w:rPr>
          <w:spacing w:val="-1"/>
        </w:rPr>
        <w:t>每年</w:t>
      </w:r>
      <w:r>
        <w:rPr>
          <w:spacing w:val="-44"/>
        </w:rPr>
        <w:t> </w:t>
      </w:r>
      <w:r>
        <w:rPr>
          <w:rFonts w:ascii="標楷體" w:hAnsi="標楷體" w:cs="標楷體" w:eastAsia="標楷體"/>
          <w:spacing w:val="-1"/>
        </w:rPr>
        <w:t>10</w:t>
      </w:r>
      <w:r>
        <w:rPr>
          <w:rFonts w:ascii="標楷體" w:hAnsi="標楷體" w:cs="標楷體" w:eastAsia="標楷體"/>
          <w:spacing w:val="-46"/>
        </w:rPr>
        <w:t> </w:t>
      </w:r>
      <w:r>
        <w:rPr/>
        <w:t>月</w:t>
      </w:r>
      <w:r>
        <w:rPr>
          <w:spacing w:val="-44"/>
        </w:rPr>
        <w:t> </w:t>
      </w:r>
      <w:r>
        <w:rPr>
          <w:rFonts w:ascii="標楷體" w:hAnsi="標楷體" w:cs="標楷體" w:eastAsia="標楷體"/>
          <w:spacing w:val="-1"/>
        </w:rPr>
        <w:t>20</w:t>
      </w:r>
      <w:r>
        <w:rPr>
          <w:rFonts w:ascii="標楷體" w:hAnsi="標楷體" w:cs="標楷體" w:eastAsia="標楷體"/>
          <w:spacing w:val="-46"/>
        </w:rPr>
        <w:t> </w:t>
      </w:r>
      <w:r>
        <w:rPr>
          <w:spacing w:val="-1"/>
        </w:rPr>
        <w:t>日前，由學生檢附戶口名簿（包括詳細記事）或三個月</w:t>
      </w:r>
      <w:r>
        <w:rPr>
          <w:spacing w:val="27"/>
        </w:rPr>
        <w:t> </w:t>
      </w:r>
      <w:r>
        <w:rPr>
          <w:spacing w:val="2"/>
        </w:rPr>
        <w:t>內申請之其他戶籍資料證明文件（包括詳細記事）向學校受理單位申</w:t>
      </w:r>
      <w:r>
        <w:rPr>
          <w:spacing w:val="30"/>
        </w:rPr>
        <w:t> </w:t>
      </w:r>
      <w:r>
        <w:rPr>
          <w:spacing w:val="2"/>
        </w:rPr>
        <w:t>請家庭所得查核。學校人員查核確認申領學生家庭所得計列範圍後，</w:t>
      </w:r>
      <w:r>
        <w:rPr>
          <w:spacing w:val="30"/>
        </w:rPr>
        <w:t> </w:t>
      </w:r>
      <w:r>
        <w:rPr/>
        <w:t>於每年</w:t>
      </w:r>
      <w:r>
        <w:rPr>
          <w:spacing w:val="-71"/>
        </w:rPr>
        <w:t> </w:t>
      </w:r>
      <w:r>
        <w:rPr>
          <w:rFonts w:ascii="標楷體" w:hAnsi="標楷體" w:cs="標楷體" w:eastAsia="標楷體"/>
          <w:spacing w:val="-2"/>
        </w:rPr>
        <w:t>1</w:t>
      </w:r>
      <w:r>
        <w:rPr>
          <w:rFonts w:ascii="標楷體" w:hAnsi="標楷體" w:cs="標楷體" w:eastAsia="標楷體"/>
        </w:rPr>
        <w:t>0</w:t>
      </w:r>
      <w:r>
        <w:rPr>
          <w:rFonts w:ascii="標楷體" w:hAnsi="標楷體" w:cs="標楷體" w:eastAsia="標楷體"/>
          <w:spacing w:val="-72"/>
        </w:rPr>
        <w:t> </w:t>
      </w:r>
      <w:r>
        <w:rPr/>
        <w:t>月</w:t>
      </w:r>
      <w:r>
        <w:rPr>
          <w:spacing w:val="-71"/>
        </w:rPr>
        <w:t> </w:t>
      </w:r>
      <w:r>
        <w:rPr>
          <w:rFonts w:ascii="標楷體" w:hAnsi="標楷體" w:cs="標楷體" w:eastAsia="標楷體"/>
          <w:spacing w:val="1"/>
        </w:rPr>
        <w:t>3</w:t>
      </w:r>
      <w:r>
        <w:rPr>
          <w:rFonts w:ascii="標楷體" w:hAnsi="標楷體" w:cs="標楷體" w:eastAsia="標楷體"/>
        </w:rPr>
        <w:t>1</w:t>
      </w:r>
      <w:r>
        <w:rPr>
          <w:rFonts w:ascii="標楷體" w:hAnsi="標楷體" w:cs="標楷體" w:eastAsia="標楷體"/>
          <w:spacing w:val="-72"/>
        </w:rPr>
        <w:t> </w:t>
      </w:r>
      <w:r>
        <w:rPr>
          <w:spacing w:val="-3"/>
        </w:rPr>
        <w:t>日</w:t>
      </w:r>
      <w:r>
        <w:rPr/>
        <w:t>進入本</w:t>
      </w:r>
      <w:r>
        <w:rPr>
          <w:spacing w:val="-3"/>
        </w:rPr>
        <w:t>部</w:t>
      </w:r>
      <w:r>
        <w:rPr/>
        <w:t>平臺</w:t>
      </w:r>
      <w:r>
        <w:rPr>
          <w:spacing w:val="-3"/>
        </w:rPr>
        <w:t>登錄</w:t>
      </w:r>
      <w:r>
        <w:rPr/>
        <w:t>資</w:t>
      </w:r>
      <w:r>
        <w:rPr>
          <w:spacing w:val="-17"/>
        </w:rPr>
        <w:t>料</w:t>
      </w:r>
      <w:r>
        <w:rPr>
          <w:spacing w:val="-161"/>
        </w:rPr>
        <w:t>。</w:t>
      </w:r>
      <w:r>
        <w:rPr/>
        <w:t>（遇</w:t>
      </w:r>
      <w:r>
        <w:rPr>
          <w:spacing w:val="-3"/>
        </w:rPr>
        <w:t>假</w:t>
      </w:r>
      <w:r>
        <w:rPr/>
        <w:t>日則</w:t>
      </w:r>
      <w:r>
        <w:rPr>
          <w:spacing w:val="-3"/>
        </w:rPr>
        <w:t>順</w:t>
      </w:r>
      <w:r>
        <w:rPr/>
        <w:t>延至下</w:t>
      </w:r>
      <w:r>
        <w:rPr>
          <w:spacing w:val="-3"/>
        </w:rPr>
        <w:t>一</w:t>
      </w:r>
      <w:r>
        <w:rPr/>
        <w:t>個工</w:t>
      </w:r>
      <w:r>
        <w:rPr/>
        <w:t> 作日）</w:t>
      </w:r>
    </w:p>
    <w:p>
      <w:pPr>
        <w:pStyle w:val="BodyText"/>
        <w:spacing w:line="262" w:lineRule="auto" w:before="6"/>
        <w:ind w:left="942" w:right="116" w:hanging="281"/>
        <w:jc w:val="both"/>
      </w:pPr>
      <w:r>
        <w:rPr>
          <w:rFonts w:ascii="標楷體" w:hAnsi="標楷體" w:cs="標楷體" w:eastAsia="標楷體"/>
          <w:spacing w:val="-1"/>
        </w:rPr>
        <w:t>3.</w:t>
      </w:r>
      <w:r>
        <w:rPr>
          <w:spacing w:val="-1"/>
        </w:rPr>
        <w:t>每年</w:t>
      </w:r>
      <w:r>
        <w:rPr>
          <w:spacing w:val="-44"/>
        </w:rPr>
        <w:t> </w:t>
      </w:r>
      <w:r>
        <w:rPr>
          <w:rFonts w:ascii="標楷體" w:hAnsi="標楷體" w:cs="標楷體" w:eastAsia="標楷體"/>
          <w:spacing w:val="-1"/>
        </w:rPr>
        <w:t>11</w:t>
      </w:r>
      <w:r>
        <w:rPr>
          <w:rFonts w:ascii="標楷體" w:hAnsi="標楷體" w:cs="標楷體" w:eastAsia="標楷體"/>
          <w:spacing w:val="-46"/>
        </w:rPr>
        <w:t> </w:t>
      </w:r>
      <w:r>
        <w:rPr/>
        <w:t>月</w:t>
      </w:r>
      <w:r>
        <w:rPr>
          <w:spacing w:val="-44"/>
        </w:rPr>
        <w:t> </w:t>
      </w:r>
      <w:r>
        <w:rPr>
          <w:rFonts w:ascii="標楷體" w:hAnsi="標楷體" w:cs="標楷體" w:eastAsia="標楷體"/>
          <w:spacing w:val="-1"/>
        </w:rPr>
        <w:t>20</w:t>
      </w:r>
      <w:r>
        <w:rPr>
          <w:rFonts w:ascii="標楷體" w:hAnsi="標楷體" w:cs="標楷體" w:eastAsia="標楷體"/>
          <w:spacing w:val="-46"/>
        </w:rPr>
        <w:t> </w:t>
      </w:r>
      <w:r>
        <w:rPr>
          <w:spacing w:val="-1"/>
        </w:rPr>
        <w:t>日前，本部將財政部財稅中心查核、各部會勾稽比對及</w:t>
      </w:r>
      <w:r>
        <w:rPr>
          <w:spacing w:val="27"/>
        </w:rPr>
        <w:t> </w:t>
      </w:r>
      <w:r>
        <w:rPr>
          <w:spacing w:val="2"/>
        </w:rPr>
        <w:t>同一教育階段查核結果通知各校，請學校將查核結果一併通知學生，</w:t>
      </w:r>
      <w:r>
        <w:rPr>
          <w:spacing w:val="26"/>
        </w:rPr>
        <w:t> </w:t>
      </w:r>
      <w:r>
        <w:rPr>
          <w:spacing w:val="-3"/>
        </w:rPr>
        <w:t>學生如對於財政部財稅中心所查核之結果有疑義，應依限於</w:t>
      </w:r>
      <w:r>
        <w:rPr>
          <w:spacing w:val="-70"/>
        </w:rPr>
        <w:t> </w:t>
      </w:r>
      <w:r>
        <w:rPr>
          <w:rFonts w:ascii="標楷體" w:hAnsi="標楷體" w:cs="標楷體" w:eastAsia="標楷體"/>
          <w:spacing w:val="-1"/>
        </w:rPr>
        <w:t>12</w:t>
      </w:r>
      <w:r>
        <w:rPr>
          <w:rFonts w:ascii="標楷體" w:hAnsi="標楷體" w:cs="標楷體" w:eastAsia="標楷體"/>
          <w:spacing w:val="-72"/>
        </w:rPr>
        <w:t> </w:t>
      </w:r>
      <w:r>
        <w:rPr/>
        <w:t>月</w:t>
      </w:r>
      <w:r>
        <w:rPr>
          <w:spacing w:val="-69"/>
        </w:rPr>
        <w:t> </w:t>
      </w:r>
      <w:r>
        <w:rPr>
          <w:rFonts w:ascii="標楷體" w:hAnsi="標楷體" w:cs="標楷體" w:eastAsia="標楷體"/>
        </w:rPr>
        <w:t>5</w:t>
      </w:r>
      <w:r>
        <w:rPr>
          <w:rFonts w:ascii="標楷體" w:hAnsi="標楷體" w:cs="標楷體" w:eastAsia="標楷體"/>
          <w:spacing w:val="-72"/>
        </w:rPr>
        <w:t> </w:t>
      </w:r>
      <w:r>
        <w:rPr/>
        <w:t>日</w:t>
      </w:r>
      <w:r>
        <w:rPr>
          <w:spacing w:val="31"/>
        </w:rPr>
        <w:t> </w:t>
      </w:r>
      <w:r>
        <w:rPr>
          <w:spacing w:val="-1"/>
        </w:rPr>
        <w:t>前檢附佐證資料修正。</w:t>
      </w:r>
    </w:p>
    <w:p>
      <w:pPr>
        <w:pStyle w:val="BodyText"/>
        <w:spacing w:line="261" w:lineRule="auto" w:before="8"/>
        <w:ind w:left="940" w:right="105" w:hanging="281"/>
        <w:jc w:val="both"/>
      </w:pPr>
      <w:r>
        <w:rPr>
          <w:rFonts w:ascii="標楷體" w:hAnsi="標楷體" w:cs="標楷體" w:eastAsia="標楷體"/>
          <w:spacing w:val="2"/>
        </w:rPr>
        <w:t>4.</w:t>
      </w:r>
      <w:r>
        <w:rPr>
          <w:spacing w:val="2"/>
        </w:rPr>
        <w:t>各校依本部「大專校院弱勢學生資格查核系統」之查核結果，逕於下</w:t>
      </w:r>
      <w:r>
        <w:rPr>
          <w:spacing w:val="25"/>
        </w:rPr>
        <w:t> </w:t>
      </w:r>
      <w:r>
        <w:rPr>
          <w:spacing w:val="12"/>
        </w:rPr>
        <w:t>學期註冊繳費單逕予扣減；如補助金額扣除下學期學雜費仍有餘額</w:t>
      </w:r>
      <w:r>
        <w:rPr>
          <w:spacing w:val="56"/>
        </w:rPr>
        <w:t> </w:t>
      </w:r>
      <w:r>
        <w:rPr>
          <w:spacing w:val="-1"/>
        </w:rPr>
        <w:t>者，應於學期初一併撥付予學生。若有經費困難得專案報部。</w:t>
      </w:r>
    </w:p>
    <w:p>
      <w:pPr>
        <w:pStyle w:val="BodyText"/>
        <w:spacing w:line="240" w:lineRule="auto" w:before="9"/>
        <w:ind w:left="659" w:right="0"/>
        <w:jc w:val="left"/>
      </w:pPr>
      <w:r>
        <w:rPr>
          <w:rFonts w:ascii="標楷體" w:hAnsi="標楷體" w:cs="標楷體" w:eastAsia="標楷體"/>
          <w:spacing w:val="-1"/>
        </w:rPr>
        <w:t>5.</w:t>
      </w:r>
      <w:r>
        <w:rPr>
          <w:spacing w:val="-1"/>
        </w:rPr>
        <w:t>私立學校請於該學年度</w:t>
      </w:r>
      <w:r>
        <w:rPr>
          <w:spacing w:val="-18"/>
        </w:rPr>
        <w:t> </w:t>
      </w:r>
      <w:r>
        <w:rPr>
          <w:rFonts w:ascii="標楷體" w:hAnsi="標楷體" w:cs="標楷體" w:eastAsia="標楷體"/>
        </w:rPr>
        <w:t>4</w:t>
      </w:r>
      <w:r>
        <w:rPr>
          <w:rFonts w:ascii="標楷體" w:hAnsi="標楷體" w:cs="標楷體" w:eastAsia="標楷體"/>
          <w:spacing w:val="-19"/>
        </w:rPr>
        <w:t> </w:t>
      </w:r>
      <w:r>
        <w:rPr>
          <w:spacing w:val="-1"/>
        </w:rPr>
        <w:t>月底前檢附核銷一覽表向本部申請核撥補助</w:t>
      </w:r>
    </w:p>
    <w:p>
      <w:pPr>
        <w:pStyle w:val="BodyText"/>
        <w:spacing w:line="303" w:lineRule="auto" w:before="34"/>
        <w:ind w:right="505" w:firstLine="820"/>
        <w:jc w:val="left"/>
      </w:pPr>
      <w:r>
        <w:rPr>
          <w:spacing w:val="-1"/>
        </w:rPr>
        <w:t>經費。公立學校請於該學年度</w:t>
      </w:r>
      <w:r>
        <w:rPr>
          <w:spacing w:val="-71"/>
        </w:rPr>
        <w:t> </w:t>
      </w:r>
      <w:r>
        <w:rPr>
          <w:rFonts w:ascii="標楷體" w:hAnsi="標楷體" w:cs="標楷體" w:eastAsia="標楷體"/>
        </w:rPr>
        <w:t>4</w:t>
      </w:r>
      <w:r>
        <w:rPr>
          <w:rFonts w:ascii="標楷體" w:hAnsi="標楷體" w:cs="標楷體" w:eastAsia="標楷體"/>
          <w:spacing w:val="-72"/>
        </w:rPr>
        <w:t> </w:t>
      </w:r>
      <w:r>
        <w:rPr>
          <w:spacing w:val="-2"/>
        </w:rPr>
        <w:t>月底前檢附核銷一覽表報部核結。</w:t>
      </w:r>
      <w:r>
        <w:rPr>
          <w:spacing w:val="33"/>
        </w:rPr>
        <w:t> </w:t>
      </w:r>
      <w:r>
        <w:rPr>
          <w:spacing w:val="-1"/>
        </w:rPr>
        <w:t>二、生活助學金</w:t>
      </w:r>
    </w:p>
    <w:p>
      <w:pPr>
        <w:pStyle w:val="BodyText"/>
        <w:spacing w:line="341" w:lineRule="exact" w:before="0"/>
        <w:ind w:left="181" w:right="0"/>
        <w:jc w:val="left"/>
      </w:pPr>
      <w:r>
        <w:rPr/>
        <w:t>（一）</w:t>
      </w:r>
      <w:r>
        <w:rPr>
          <w:color w:val="FF0000"/>
        </w:rPr>
      </w:r>
      <w:r>
        <w:rPr>
          <w:color w:val="FF0000"/>
          <w:u w:val="single" w:color="FF0000"/>
        </w:rPr>
        <w:t>為提供</w:t>
      </w:r>
      <w:r>
        <w:rPr>
          <w:color w:val="FF0000"/>
        </w:rPr>
      </w:r>
      <w:r>
        <w:rPr/>
        <w:t>經濟弱勢學生每月生活所需費用，爰參酌全額獎學金之精神，</w:t>
      </w:r>
    </w:p>
    <w:p>
      <w:pPr>
        <w:spacing w:after="0" w:line="341" w:lineRule="exact"/>
        <w:jc w:val="left"/>
        <w:sectPr>
          <w:pgSz w:w="11910" w:h="16840"/>
          <w:pgMar w:header="0" w:footer="1232" w:top="1500" w:bottom="1420" w:left="1380" w:right="960"/>
        </w:sectPr>
      </w:pPr>
    </w:p>
    <w:p>
      <w:pPr>
        <w:pStyle w:val="BodyText"/>
        <w:spacing w:line="262" w:lineRule="auto" w:before="0"/>
        <w:ind w:left="640" w:right="0" w:firstLine="362"/>
        <w:jc w:val="left"/>
      </w:pPr>
      <w:r>
        <w:rPr>
          <w:color w:val="FF0000"/>
        </w:rPr>
      </w:r>
      <w:r>
        <w:rPr>
          <w:color w:val="FF0000"/>
          <w:u w:val="single" w:color="FF0000"/>
        </w:rPr>
        <w:t>學校得</w:t>
      </w:r>
      <w:r>
        <w:rPr>
          <w:color w:val="FF0000"/>
          <w:spacing w:val="-3"/>
          <w:u w:val="single" w:color="FF0000"/>
        </w:rPr>
        <w:t>依</w:t>
      </w:r>
      <w:r>
        <w:rPr>
          <w:color w:val="FF0000"/>
          <w:u w:val="single" w:color="FF0000"/>
        </w:rPr>
        <w:t>學校</w:t>
      </w:r>
      <w:r>
        <w:rPr>
          <w:color w:val="FF0000"/>
          <w:spacing w:val="-3"/>
          <w:u w:val="single" w:color="FF0000"/>
        </w:rPr>
        <w:t>扶弱</w:t>
      </w:r>
      <w:r>
        <w:rPr>
          <w:color w:val="FF0000"/>
          <w:u w:val="single" w:color="FF0000"/>
        </w:rPr>
        <w:t>措施及</w:t>
      </w:r>
      <w:r>
        <w:rPr>
          <w:color w:val="FF0000"/>
          <w:spacing w:val="-3"/>
          <w:u w:val="single" w:color="FF0000"/>
        </w:rPr>
        <w:t>學</w:t>
      </w:r>
      <w:r>
        <w:rPr>
          <w:color w:val="FF0000"/>
          <w:u w:val="single" w:color="FF0000"/>
        </w:rPr>
        <w:t>生需</w:t>
      </w:r>
      <w:r>
        <w:rPr>
          <w:color w:val="FF0000"/>
          <w:spacing w:val="-3"/>
          <w:u w:val="single" w:color="FF0000"/>
        </w:rPr>
        <w:t>求情</w:t>
      </w:r>
      <w:r>
        <w:rPr>
          <w:color w:val="FF0000"/>
          <w:spacing w:val="-58"/>
          <w:u w:val="single" w:color="FF0000"/>
        </w:rPr>
        <w:t>形</w:t>
      </w:r>
      <w:r>
        <w:rPr>
          <w:color w:val="FF0000"/>
          <w:spacing w:val="-57"/>
          <w:u w:val="single" w:color="FF0000"/>
        </w:rPr>
        <w:t>，</w:t>
      </w:r>
      <w:r>
        <w:rPr>
          <w:color w:val="FF0000"/>
          <w:spacing w:val="-3"/>
          <w:u w:val="single" w:color="FF0000"/>
        </w:rPr>
        <w:t>擇</w:t>
      </w:r>
      <w:r>
        <w:rPr>
          <w:color w:val="FF0000"/>
          <w:u w:val="single" w:color="FF0000"/>
        </w:rPr>
        <w:t>下列</w:t>
      </w:r>
      <w:r>
        <w:rPr>
          <w:color w:val="FF0000"/>
          <w:spacing w:val="-3"/>
          <w:u w:val="single" w:color="FF0000"/>
        </w:rPr>
        <w:t>方</w:t>
      </w:r>
      <w:r>
        <w:rPr>
          <w:color w:val="FF0000"/>
          <w:u w:val="single" w:color="FF0000"/>
        </w:rPr>
        <w:t>式之</w:t>
      </w:r>
      <w:r>
        <w:rPr>
          <w:color w:val="FF0000"/>
          <w:spacing w:val="-3"/>
          <w:u w:val="single" w:color="FF0000"/>
        </w:rPr>
        <w:t>一</w:t>
      </w:r>
      <w:r>
        <w:rPr>
          <w:color w:val="FF0000"/>
          <w:u w:val="single" w:color="FF0000"/>
        </w:rPr>
        <w:t>或全部</w:t>
      </w:r>
      <w:r>
        <w:rPr>
          <w:color w:val="FF0000"/>
          <w:spacing w:val="-3"/>
          <w:u w:val="single" w:color="FF0000"/>
        </w:rPr>
        <w:t>辦</w:t>
      </w:r>
      <w:r>
        <w:rPr>
          <w:color w:val="FF0000"/>
          <w:u w:val="single" w:color="FF0000"/>
        </w:rPr>
        <w:t>理</w:t>
      </w:r>
      <w:r>
        <w:rPr>
          <w:rFonts w:ascii="標楷體" w:hAnsi="標楷體" w:cs="標楷體" w:eastAsia="標楷體"/>
          <w:color w:val="FF0000"/>
          <w:u w:val="single" w:color="FF0000"/>
        </w:rPr>
        <w:t>:</w:t>
      </w:r>
      <w:r>
        <w:rPr>
          <w:rFonts w:ascii="標楷體" w:hAnsi="標楷體" w:cs="標楷體" w:eastAsia="標楷體"/>
          <w:color w:val="FF0000"/>
        </w:rPr>
      </w:r>
      <w:r>
        <w:rPr>
          <w:rFonts w:ascii="標楷體" w:hAnsi="標楷體" w:cs="標楷體" w:eastAsia="標楷體"/>
          <w:color w:val="FF0000"/>
        </w:rPr>
        <w:t> </w:t>
      </w:r>
      <w:r>
        <w:rPr>
          <w:rFonts w:ascii="標楷體" w:hAnsi="標楷體" w:cs="標楷體" w:eastAsia="標楷體"/>
          <w:color w:val="FF0000"/>
          <w:spacing w:val="1"/>
          <w:u w:val="single" w:color="FF0000"/>
        </w:rPr>
        <w:t>1</w:t>
      </w:r>
      <w:r>
        <w:rPr>
          <w:rFonts w:ascii="標楷體" w:hAnsi="標楷體" w:cs="標楷體" w:eastAsia="標楷體"/>
          <w:color w:val="FF0000"/>
          <w:spacing w:val="-2"/>
          <w:u w:val="single" w:color="FF0000"/>
        </w:rPr>
        <w:t>.</w:t>
      </w:r>
      <w:r>
        <w:rPr>
          <w:color w:val="FF0000"/>
          <w:u w:val="single" w:color="FF0000"/>
        </w:rPr>
        <w:t>核發</w:t>
      </w:r>
      <w:r>
        <w:rPr>
          <w:color w:val="FF0000"/>
          <w:spacing w:val="-3"/>
          <w:u w:val="single" w:color="FF0000"/>
        </w:rPr>
        <w:t>每</w:t>
      </w:r>
      <w:r>
        <w:rPr>
          <w:color w:val="FF0000"/>
          <w:u w:val="single" w:color="FF0000"/>
        </w:rPr>
        <w:t>生每月</w:t>
      </w:r>
      <w:r>
        <w:rPr>
          <w:color w:val="FF0000"/>
          <w:spacing w:val="-71"/>
          <w:u w:val="single" w:color="FF0000"/>
        </w:rPr>
        <w:t> </w:t>
      </w:r>
      <w:r>
        <w:rPr>
          <w:rFonts w:ascii="Times New Roman" w:hAnsi="Times New Roman" w:cs="Times New Roman" w:eastAsia="Times New Roman"/>
          <w:color w:val="FF0000"/>
          <w:spacing w:val="-71"/>
          <w:u w:val="single" w:color="FF0000"/>
        </w:rPr>
      </w:r>
      <w:r>
        <w:rPr>
          <w:rFonts w:ascii="標楷體" w:hAnsi="標楷體" w:cs="標楷體" w:eastAsia="標楷體"/>
          <w:color w:val="FF0000"/>
          <w:spacing w:val="-2"/>
          <w:u w:val="single" w:color="FF0000"/>
        </w:rPr>
        <w:t>6,000</w:t>
      </w:r>
      <w:r>
        <w:rPr>
          <w:rFonts w:ascii="標楷體" w:hAnsi="標楷體" w:cs="標楷體" w:eastAsia="標楷體"/>
          <w:color w:val="FF0000"/>
          <w:spacing w:val="-72"/>
          <w:u w:val="single" w:color="FF0000"/>
        </w:rPr>
        <w:t> </w:t>
      </w:r>
      <w:r>
        <w:rPr>
          <w:color w:val="FF0000"/>
          <w:u w:val="single" w:color="FF0000"/>
        </w:rPr>
        <w:t>元以上</w:t>
      </w:r>
      <w:r>
        <w:rPr>
          <w:color w:val="FF0000"/>
          <w:spacing w:val="-3"/>
          <w:u w:val="single" w:color="FF0000"/>
        </w:rPr>
        <w:t>之</w:t>
      </w:r>
      <w:r>
        <w:rPr>
          <w:color w:val="FF0000"/>
          <w:u w:val="single" w:color="FF0000"/>
        </w:rPr>
        <w:t>生活</w:t>
      </w:r>
      <w:r>
        <w:rPr>
          <w:color w:val="FF0000"/>
          <w:spacing w:val="-3"/>
          <w:u w:val="single" w:color="FF0000"/>
        </w:rPr>
        <w:t>助</w:t>
      </w:r>
      <w:r>
        <w:rPr>
          <w:color w:val="FF0000"/>
          <w:u w:val="single" w:color="FF0000"/>
        </w:rPr>
        <w:t>學</w:t>
      </w:r>
      <w:r>
        <w:rPr>
          <w:color w:val="FF0000"/>
          <w:spacing w:val="-43"/>
          <w:u w:val="single" w:color="FF0000"/>
        </w:rPr>
        <w:t>金</w:t>
      </w:r>
      <w:r>
        <w:rPr>
          <w:color w:val="FF0000"/>
          <w:spacing w:val="-46"/>
          <w:u w:val="single" w:color="FF0000"/>
        </w:rPr>
        <w:t>，</w:t>
      </w:r>
      <w:r>
        <w:rPr>
          <w:color w:val="FF0000"/>
          <w:u w:val="single" w:color="FF0000"/>
        </w:rPr>
        <w:t>學校</w:t>
      </w:r>
      <w:r>
        <w:rPr>
          <w:color w:val="FF0000"/>
          <w:spacing w:val="-3"/>
          <w:u w:val="single" w:color="FF0000"/>
        </w:rPr>
        <w:t>得</w:t>
      </w:r>
      <w:r>
        <w:rPr>
          <w:color w:val="FF0000"/>
          <w:u w:val="single" w:color="FF0000"/>
        </w:rPr>
        <w:t>安排</w:t>
      </w:r>
      <w:r>
        <w:rPr>
          <w:color w:val="FF0000"/>
          <w:spacing w:val="-3"/>
          <w:u w:val="single" w:color="FF0000"/>
        </w:rPr>
        <w:t>生</w:t>
      </w:r>
      <w:r>
        <w:rPr>
          <w:color w:val="FF0000"/>
          <w:u w:val="single" w:color="FF0000"/>
        </w:rPr>
        <w:t>活服務</w:t>
      </w:r>
      <w:r>
        <w:rPr>
          <w:color w:val="FF0000"/>
          <w:spacing w:val="-3"/>
          <w:u w:val="single" w:color="FF0000"/>
        </w:rPr>
        <w:t>學</w:t>
      </w:r>
      <w:r>
        <w:rPr>
          <w:color w:val="FF0000"/>
          <w:spacing w:val="-17"/>
          <w:u w:val="single" w:color="FF0000"/>
        </w:rPr>
        <w:t>習</w:t>
      </w:r>
      <w:r>
        <w:rPr>
          <w:color w:val="FF0000"/>
          <w:u w:val="single" w:color="FF0000"/>
        </w:rPr>
        <w:t>。</w:t>
      </w:r>
      <w:r>
        <w:rPr>
          <w:color w:val="FF0000"/>
        </w:rPr>
      </w:r>
      <w:r>
        <w:rPr/>
      </w:r>
    </w:p>
    <w:p>
      <w:pPr>
        <w:pStyle w:val="BodyText"/>
        <w:spacing w:line="262" w:lineRule="auto" w:before="5"/>
        <w:ind w:left="920" w:right="173" w:hanging="281"/>
        <w:jc w:val="both"/>
      </w:pPr>
      <w:r>
        <w:rPr>
          <w:rFonts w:ascii="標楷體" w:hAnsi="標楷體" w:cs="標楷體" w:eastAsia="標楷體"/>
          <w:color w:val="FF0000"/>
        </w:rPr>
      </w:r>
      <w:r>
        <w:rPr>
          <w:rFonts w:ascii="標楷體" w:hAnsi="標楷體" w:cs="標楷體" w:eastAsia="標楷體"/>
          <w:color w:val="FF0000"/>
          <w:spacing w:val="-1"/>
          <w:u w:val="single" w:color="FF0000"/>
        </w:rPr>
        <w:t>2.</w:t>
      </w:r>
      <w:r>
        <w:rPr>
          <w:color w:val="FF0000"/>
          <w:spacing w:val="-1"/>
          <w:u w:val="single" w:color="FF0000"/>
        </w:rPr>
        <w:t>核發每生每月</w:t>
      </w:r>
      <w:r>
        <w:rPr>
          <w:color w:val="FF0000"/>
          <w:spacing w:val="-45"/>
          <w:u w:val="single" w:color="FF0000"/>
        </w:rPr>
        <w:t> </w:t>
      </w:r>
      <w:r>
        <w:rPr>
          <w:rFonts w:ascii="Times New Roman" w:hAnsi="Times New Roman" w:cs="Times New Roman" w:eastAsia="Times New Roman"/>
          <w:color w:val="FF0000"/>
          <w:spacing w:val="-45"/>
          <w:u w:val="single" w:color="FF0000"/>
        </w:rPr>
      </w:r>
      <w:r>
        <w:rPr>
          <w:rFonts w:ascii="標楷體" w:hAnsi="標楷體" w:cs="標楷體" w:eastAsia="標楷體"/>
          <w:color w:val="FF0000"/>
          <w:spacing w:val="-2"/>
          <w:u w:val="single" w:color="FF0000"/>
        </w:rPr>
        <w:t>3,000</w:t>
      </w:r>
      <w:r>
        <w:rPr>
          <w:rFonts w:ascii="標楷體" w:hAnsi="標楷體" w:cs="標楷體" w:eastAsia="標楷體"/>
          <w:color w:val="FF0000"/>
          <w:spacing w:val="-45"/>
          <w:u w:val="single" w:color="FF0000"/>
        </w:rPr>
        <w:t> </w:t>
      </w:r>
      <w:r>
        <w:rPr>
          <w:color w:val="FF0000"/>
          <w:u w:val="single" w:color="FF0000"/>
        </w:rPr>
        <w:t>元以上未達</w:t>
      </w:r>
      <w:r>
        <w:rPr>
          <w:color w:val="FF0000"/>
          <w:spacing w:val="-45"/>
          <w:u w:val="single" w:color="FF0000"/>
        </w:rPr>
        <w:t> </w:t>
      </w:r>
      <w:r>
        <w:rPr>
          <w:rFonts w:ascii="Times New Roman" w:hAnsi="Times New Roman" w:cs="Times New Roman" w:eastAsia="Times New Roman"/>
          <w:color w:val="FF0000"/>
          <w:spacing w:val="-45"/>
          <w:u w:val="single" w:color="FF0000"/>
        </w:rPr>
      </w:r>
      <w:r>
        <w:rPr>
          <w:rFonts w:ascii="標楷體" w:hAnsi="標楷體" w:cs="標楷體" w:eastAsia="標楷體"/>
          <w:color w:val="FF0000"/>
          <w:spacing w:val="-1"/>
          <w:u w:val="single" w:color="FF0000"/>
        </w:rPr>
        <w:t>6,000</w:t>
      </w:r>
      <w:r>
        <w:rPr>
          <w:rFonts w:ascii="標楷體" w:hAnsi="標楷體" w:cs="標楷體" w:eastAsia="標楷體"/>
          <w:color w:val="FF0000"/>
          <w:spacing w:val="-46"/>
          <w:u w:val="single" w:color="FF0000"/>
        </w:rPr>
        <w:t> </w:t>
      </w:r>
      <w:r>
        <w:rPr>
          <w:color w:val="FF0000"/>
          <w:spacing w:val="-1"/>
          <w:u w:val="single" w:color="FF0000"/>
        </w:rPr>
        <w:t>元之生活助學金者，學校不得</w:t>
      </w:r>
      <w:r>
        <w:rPr>
          <w:color w:val="FF0000"/>
        </w:rPr>
      </w:r>
      <w:r>
        <w:rPr>
          <w:color w:val="FF0000"/>
          <w:spacing w:val="23"/>
        </w:rPr>
        <w:t> </w:t>
      </w:r>
      <w:r>
        <w:rPr>
          <w:color w:val="FF0000"/>
          <w:spacing w:val="-1"/>
          <w:u w:val="single" w:color="FF0000"/>
        </w:rPr>
        <w:t>安排生活服務學習。</w:t>
      </w:r>
      <w:r>
        <w:rPr>
          <w:color w:val="FF0000"/>
        </w:rPr>
      </w:r>
      <w:r>
        <w:rPr/>
      </w:r>
    </w:p>
    <w:p>
      <w:pPr>
        <w:pStyle w:val="BodyText"/>
        <w:spacing w:line="240" w:lineRule="auto" w:before="73"/>
        <w:ind w:left="162" w:right="0"/>
        <w:jc w:val="left"/>
      </w:pPr>
      <w:r>
        <w:rPr>
          <w:spacing w:val="-2"/>
        </w:rPr>
        <w:t>（二）申請資格：其申請資格及辦理方式由學校自行訂定並公告。</w:t>
      </w:r>
    </w:p>
    <w:p>
      <w:pPr>
        <w:pStyle w:val="BodyText"/>
        <w:spacing w:line="240" w:lineRule="auto" w:before="113"/>
        <w:ind w:left="162" w:right="0"/>
        <w:jc w:val="left"/>
      </w:pPr>
      <w:r>
        <w:rPr>
          <w:spacing w:val="-1"/>
        </w:rPr>
        <w:t>（三）辦理方式：</w:t>
      </w:r>
    </w:p>
    <w:p>
      <w:pPr>
        <w:pStyle w:val="BodyText"/>
        <w:spacing w:line="314" w:lineRule="auto" w:before="113"/>
        <w:ind w:left="923" w:right="173" w:hanging="282"/>
        <w:jc w:val="both"/>
      </w:pPr>
      <w:r>
        <w:rPr>
          <w:rFonts w:ascii="標楷體" w:hAnsi="標楷體" w:cs="標楷體" w:eastAsia="標楷體"/>
          <w:spacing w:val="2"/>
        </w:rPr>
        <w:t>1.</w:t>
      </w:r>
      <w:r>
        <w:rPr>
          <w:spacing w:val="2"/>
        </w:rPr>
        <w:t>學校應依各校預算及本部補助金額規劃每學年生活助學金名額，訂定</w:t>
      </w:r>
      <w:r>
        <w:rPr>
          <w:spacing w:val="29"/>
        </w:rPr>
        <w:t> </w:t>
      </w:r>
      <w:r>
        <w:rPr>
          <w:spacing w:val="2"/>
        </w:rPr>
        <w:t>受理申請之審核機制，並以家庭年收入較低或學生家庭現況困難者優</w:t>
      </w:r>
      <w:r>
        <w:rPr>
          <w:spacing w:val="26"/>
        </w:rPr>
        <w:t> </w:t>
      </w:r>
      <w:r>
        <w:rPr/>
        <w:t>先核給。</w:t>
      </w:r>
    </w:p>
    <w:p>
      <w:pPr>
        <w:pStyle w:val="BodyText"/>
        <w:spacing w:line="314" w:lineRule="auto"/>
        <w:ind w:left="923" w:right="173" w:hanging="281"/>
        <w:jc w:val="both"/>
      </w:pPr>
      <w:r>
        <w:rPr>
          <w:rFonts w:ascii="標楷體" w:hAnsi="標楷體" w:cs="標楷體" w:eastAsia="標楷體"/>
          <w:spacing w:val="2"/>
        </w:rPr>
        <w:t>2.</w:t>
      </w:r>
      <w:r>
        <w:rPr>
          <w:spacing w:val="2"/>
        </w:rPr>
        <w:t>各校得依學校所在地區實際生活費用及學生實際在校期間，彈性調整</w:t>
      </w:r>
      <w:r>
        <w:rPr>
          <w:spacing w:val="28"/>
        </w:rPr>
        <w:t> </w:t>
      </w:r>
      <w:r>
        <w:rPr>
          <w:spacing w:val="-1"/>
        </w:rPr>
        <w:t>核發數額。</w:t>
      </w:r>
    </w:p>
    <w:p>
      <w:pPr>
        <w:pStyle w:val="BodyText"/>
        <w:spacing w:line="240" w:lineRule="auto"/>
        <w:ind w:left="100" w:right="0"/>
        <w:jc w:val="left"/>
      </w:pPr>
      <w:bookmarkStart w:name="（四）生活服務學習" w:id="2"/>
      <w:bookmarkEnd w:id="2"/>
      <w:r>
        <w:rPr/>
      </w:r>
      <w:r>
        <w:rPr>
          <w:spacing w:val="-1"/>
        </w:rPr>
        <w:t>（四）生活服務學習</w:t>
      </w:r>
    </w:p>
    <w:p>
      <w:pPr>
        <w:pStyle w:val="BodyText"/>
        <w:spacing w:line="314" w:lineRule="auto" w:before="113"/>
        <w:ind w:left="923" w:right="176" w:hanging="281"/>
        <w:jc w:val="both"/>
      </w:pPr>
      <w:r>
        <w:rPr>
          <w:rFonts w:ascii="標楷體" w:hAnsi="標楷體" w:cs="標楷體" w:eastAsia="標楷體"/>
          <w:spacing w:val="-3"/>
        </w:rPr>
        <w:t>1.</w:t>
      </w:r>
      <w:r>
        <w:rPr>
          <w:spacing w:val="-3"/>
        </w:rPr>
        <w:t>目的</w:t>
      </w:r>
      <w:r>
        <w:rPr>
          <w:rFonts w:ascii="標楷體" w:hAnsi="標楷體" w:cs="標楷體" w:eastAsia="標楷體"/>
          <w:spacing w:val="-3"/>
        </w:rPr>
        <w:t>:</w:t>
      </w:r>
      <w:r>
        <w:rPr>
          <w:spacing w:val="-3"/>
        </w:rPr>
        <w:t>為培養弱勢學生獨立自主精神，並厚植其畢業後之就業或就學能</w:t>
      </w:r>
      <w:r>
        <w:rPr>
          <w:spacing w:val="65"/>
        </w:rPr>
        <w:t> </w:t>
      </w:r>
      <w:r>
        <w:rPr>
          <w:spacing w:val="-2"/>
        </w:rPr>
        <w:t>力，學校得安排領取生活助學金之學生參與生活服務學習。</w:t>
      </w:r>
    </w:p>
    <w:p>
      <w:pPr>
        <w:pStyle w:val="BodyText"/>
        <w:spacing w:line="314" w:lineRule="auto"/>
        <w:ind w:left="923" w:right="175" w:hanging="281"/>
        <w:jc w:val="both"/>
      </w:pPr>
      <w:r>
        <w:rPr>
          <w:rFonts w:ascii="標楷體" w:hAnsi="標楷體" w:cs="標楷體" w:eastAsia="標楷體"/>
          <w:spacing w:val="-3"/>
        </w:rPr>
        <w:t>2.</w:t>
      </w:r>
      <w:r>
        <w:rPr>
          <w:spacing w:val="-3"/>
        </w:rPr>
        <w:t>內容</w:t>
      </w:r>
      <w:r>
        <w:rPr>
          <w:rFonts w:ascii="標楷體" w:hAnsi="標楷體" w:cs="標楷體" w:eastAsia="標楷體"/>
          <w:spacing w:val="-3"/>
        </w:rPr>
        <w:t>:</w:t>
      </w:r>
      <w:r>
        <w:rPr>
          <w:spacing w:val="-3"/>
        </w:rPr>
        <w:t>學校得參考「大專校院服務學習方案」及「專科以上學校強化學</w:t>
      </w:r>
      <w:r>
        <w:rPr>
          <w:spacing w:val="65"/>
        </w:rPr>
        <w:t> </w:t>
      </w:r>
      <w:r>
        <w:rPr/>
        <w:t>生兼任</w:t>
      </w:r>
      <w:r>
        <w:rPr>
          <w:spacing w:val="-3"/>
        </w:rPr>
        <w:t>助</w:t>
      </w:r>
      <w:r>
        <w:rPr/>
        <w:t>理學</w:t>
      </w:r>
      <w:r>
        <w:rPr>
          <w:spacing w:val="-3"/>
        </w:rPr>
        <w:t>習與</w:t>
      </w:r>
      <w:r>
        <w:rPr/>
        <w:t>勞動權</w:t>
      </w:r>
      <w:r>
        <w:rPr>
          <w:spacing w:val="-3"/>
        </w:rPr>
        <w:t>益</w:t>
      </w:r>
      <w:r>
        <w:rPr/>
        <w:t>保障</w:t>
      </w:r>
      <w:r>
        <w:rPr>
          <w:spacing w:val="-3"/>
        </w:rPr>
        <w:t>處理</w:t>
      </w:r>
      <w:r>
        <w:rPr/>
        <w:t>原則</w:t>
      </w:r>
      <w:r>
        <w:rPr>
          <w:spacing w:val="-148"/>
        </w:rPr>
        <w:t>」</w:t>
      </w:r>
      <w:r>
        <w:rPr>
          <w:spacing w:val="-10"/>
        </w:rPr>
        <w:t>，</w:t>
      </w:r>
      <w:r>
        <w:rPr>
          <w:spacing w:val="-3"/>
        </w:rPr>
        <w:t>規</w:t>
      </w:r>
      <w:r>
        <w:rPr/>
        <w:t>劃具</w:t>
      </w:r>
      <w:r>
        <w:rPr>
          <w:spacing w:val="-3"/>
        </w:rPr>
        <w:t>公共</w:t>
      </w:r>
      <w:r>
        <w:rPr>
          <w:spacing w:val="-10"/>
        </w:rPr>
        <w:t>性、</w:t>
      </w:r>
      <w:r>
        <w:rPr/>
        <w:t>公益性及</w:t>
      </w:r>
      <w:r>
        <w:rPr/>
        <w:t> </w:t>
      </w:r>
      <w:r>
        <w:rPr>
          <w:spacing w:val="-1"/>
        </w:rPr>
        <w:t>發展性之服務學習活動。</w:t>
      </w:r>
    </w:p>
    <w:p>
      <w:pPr>
        <w:pStyle w:val="BodyText"/>
        <w:spacing w:line="314" w:lineRule="auto"/>
        <w:ind w:left="687" w:right="0" w:hanging="46"/>
        <w:jc w:val="left"/>
      </w:pPr>
      <w:r>
        <w:rPr>
          <w:rFonts w:ascii="標楷體" w:hAnsi="標楷體" w:cs="標楷體" w:eastAsia="標楷體"/>
          <w:spacing w:val="-1"/>
        </w:rPr>
        <w:t>3.</w:t>
      </w:r>
      <w:r>
        <w:rPr>
          <w:spacing w:val="-1"/>
        </w:rPr>
        <w:t>實施原則：</w:t>
      </w:r>
      <w:r>
        <w:rPr>
          <w:spacing w:val="23"/>
        </w:rPr>
        <w:t> </w:t>
      </w:r>
      <w:r>
        <w:rPr>
          <w:rFonts w:ascii="標楷體" w:hAnsi="標楷體" w:cs="標楷體" w:eastAsia="標楷體"/>
          <w:spacing w:val="-4"/>
        </w:rPr>
        <w:t>(1)</w:t>
      </w:r>
      <w:r>
        <w:rPr>
          <w:spacing w:val="-4"/>
        </w:rPr>
        <w:t>程序明確：學校依本計畫辦理生活服務學習時，應訂有相關學習準則</w:t>
      </w:r>
    </w:p>
    <w:p>
      <w:pPr>
        <w:pStyle w:val="BodyText"/>
        <w:spacing w:line="314" w:lineRule="auto"/>
        <w:ind w:left="1093" w:right="111"/>
        <w:jc w:val="left"/>
      </w:pPr>
      <w:r>
        <w:rPr>
          <w:spacing w:val="-1"/>
        </w:rPr>
        <w:t>或規範，並將生活服務學習內容及相關遵行事項載明於申請表件中，</w:t>
      </w:r>
      <w:r>
        <w:rPr>
          <w:spacing w:val="22"/>
        </w:rPr>
        <w:t> </w:t>
      </w:r>
      <w:r>
        <w:rPr>
          <w:spacing w:val="-1"/>
        </w:rPr>
        <w:t>並供學生以書面具結；必要時學校得辦理說明會，以求明確。</w:t>
      </w:r>
    </w:p>
    <w:p>
      <w:pPr>
        <w:pStyle w:val="BodyText"/>
        <w:spacing w:line="314" w:lineRule="auto"/>
        <w:ind w:left="1093" w:right="165" w:hanging="406"/>
        <w:jc w:val="both"/>
      </w:pPr>
      <w:r>
        <w:rPr>
          <w:rFonts w:ascii="標楷體" w:hAnsi="標楷體" w:cs="標楷體" w:eastAsia="標楷體"/>
          <w:spacing w:val="-4"/>
        </w:rPr>
        <w:t>(2)</w:t>
      </w:r>
      <w:r>
        <w:rPr>
          <w:spacing w:val="-4"/>
        </w:rPr>
        <w:t>內容多元：應強調「服務」與「學習」的相互結合，在服務的過程中</w:t>
      </w:r>
      <w:r>
        <w:rPr>
          <w:spacing w:val="37"/>
        </w:rPr>
        <w:t> </w:t>
      </w:r>
      <w:r>
        <w:rPr>
          <w:spacing w:val="1"/>
        </w:rPr>
        <w:t>獲得學習的</w:t>
      </w:r>
      <w:r>
        <w:rPr>
          <w:spacing w:val="4"/>
        </w:rPr>
        <w:t> </w:t>
      </w:r>
      <w:r>
        <w:rPr>
          <w:spacing w:val="1"/>
        </w:rPr>
        <w:t>效果，不以獲取報酬為目的之各項輔助性服務，包括依</w:t>
      </w:r>
      <w:r>
        <w:rPr>
          <w:spacing w:val="26"/>
        </w:rPr>
        <w:t> </w:t>
      </w:r>
      <w:r>
        <w:rPr>
          <w:spacing w:val="6"/>
        </w:rPr>
        <w:t>志願服務法之適用範圍經主管機關或目的事業主管機關主辦或經其</w:t>
      </w:r>
      <w:r>
        <w:rPr>
          <w:spacing w:val="43"/>
        </w:rPr>
        <w:t> </w:t>
      </w:r>
      <w:r>
        <w:rPr/>
        <w:t>備查符</w:t>
      </w:r>
      <w:r>
        <w:rPr>
          <w:spacing w:val="-3"/>
        </w:rPr>
        <w:t>合</w:t>
      </w:r>
      <w:r>
        <w:rPr/>
        <w:t>公眾</w:t>
      </w:r>
      <w:r>
        <w:rPr>
          <w:spacing w:val="-3"/>
        </w:rPr>
        <w:t>利益</w:t>
      </w:r>
      <w:r>
        <w:rPr/>
        <w:t>之服務</w:t>
      </w:r>
      <w:r>
        <w:rPr>
          <w:spacing w:val="-3"/>
        </w:rPr>
        <w:t>計</w:t>
      </w:r>
      <w:r>
        <w:rPr>
          <w:spacing w:val="-34"/>
        </w:rPr>
        <w:t>畫</w:t>
      </w:r>
      <w:r>
        <w:rPr>
          <w:spacing w:val="-36"/>
        </w:rPr>
        <w:t>，</w:t>
      </w:r>
      <w:r>
        <w:rPr/>
        <w:t>參與</w:t>
      </w:r>
      <w:r>
        <w:rPr>
          <w:spacing w:val="-3"/>
        </w:rPr>
        <w:t>服</w:t>
      </w:r>
      <w:r>
        <w:rPr/>
        <w:t>務性社</w:t>
      </w:r>
      <w:r>
        <w:rPr>
          <w:spacing w:val="-3"/>
        </w:rPr>
        <w:t>團</w:t>
      </w:r>
      <w:r>
        <w:rPr/>
        <w:t>或其</w:t>
      </w:r>
      <w:r>
        <w:rPr>
          <w:spacing w:val="-3"/>
        </w:rPr>
        <w:t>他服</w:t>
      </w:r>
      <w:r>
        <w:rPr/>
        <w:t>務學習</w:t>
      </w:r>
      <w:r>
        <w:rPr>
          <w:spacing w:val="-3"/>
        </w:rPr>
        <w:t>課</w:t>
      </w:r>
      <w:r>
        <w:rPr/>
        <w:t>程</w:t>
      </w:r>
      <w:r>
        <w:rPr/>
        <w:t> 或活動。</w:t>
      </w:r>
    </w:p>
    <w:p>
      <w:pPr>
        <w:pStyle w:val="BodyText"/>
        <w:spacing w:line="314" w:lineRule="auto"/>
        <w:ind w:left="1092" w:right="176" w:hanging="264"/>
        <w:jc w:val="both"/>
      </w:pPr>
      <w:r>
        <w:rPr>
          <w:rFonts w:ascii="標楷體" w:hAnsi="標楷體" w:cs="標楷體" w:eastAsia="標楷體"/>
          <w:spacing w:val="-2"/>
        </w:rPr>
        <w:t>(3)</w:t>
      </w:r>
      <w:r>
        <w:rPr/>
        <w:t>時數合</w:t>
      </w:r>
      <w:r>
        <w:rPr>
          <w:spacing w:val="-22"/>
        </w:rPr>
        <w:t>理：</w:t>
      </w:r>
      <w:r>
        <w:rPr>
          <w:spacing w:val="-3"/>
        </w:rPr>
        <w:t>每</w:t>
      </w:r>
      <w:r>
        <w:rPr/>
        <w:t>週以</w:t>
      </w:r>
      <w:r>
        <w:rPr>
          <w:spacing w:val="-71"/>
        </w:rPr>
        <w:t> </w:t>
      </w:r>
      <w:r>
        <w:rPr>
          <w:rFonts w:ascii="標楷體" w:hAnsi="標楷體" w:cs="標楷體" w:eastAsia="標楷體"/>
          <w:spacing w:val="-2"/>
        </w:rPr>
        <w:t>1</w:t>
      </w:r>
      <w:r>
        <w:rPr>
          <w:rFonts w:ascii="標楷體" w:hAnsi="標楷體" w:cs="標楷體" w:eastAsia="標楷體"/>
        </w:rPr>
        <w:t>0</w:t>
      </w:r>
      <w:r>
        <w:rPr>
          <w:rFonts w:ascii="標楷體" w:hAnsi="標楷體" w:cs="標楷體" w:eastAsia="標楷體"/>
          <w:spacing w:val="-72"/>
        </w:rPr>
        <w:t> </w:t>
      </w:r>
      <w:r>
        <w:rPr/>
        <w:t>小時為上</w:t>
      </w:r>
      <w:r>
        <w:rPr>
          <w:spacing w:val="-25"/>
        </w:rPr>
        <w:t>限</w:t>
      </w:r>
      <w:r>
        <w:rPr>
          <w:spacing w:val="-22"/>
        </w:rPr>
        <w:t>。</w:t>
      </w:r>
      <w:r>
        <w:rPr/>
        <w:t>服務學習時</w:t>
      </w:r>
      <w:r>
        <w:rPr>
          <w:spacing w:val="-3"/>
        </w:rPr>
        <w:t>數與</w:t>
      </w:r>
      <w:r>
        <w:rPr/>
        <w:t>生活助</w:t>
      </w:r>
      <w:r>
        <w:rPr>
          <w:spacing w:val="-3"/>
        </w:rPr>
        <w:t>學</w:t>
      </w:r>
      <w:r>
        <w:rPr/>
        <w:t>金金額</w:t>
      </w:r>
      <w:r>
        <w:rPr/>
        <w:t> </w:t>
      </w:r>
      <w:r>
        <w:rPr>
          <w:spacing w:val="-4"/>
        </w:rPr>
        <w:t>無對價關係，爰學校不得因服務學習時數差異，致核發助學金金額有</w:t>
      </w:r>
      <w:r>
        <w:rPr>
          <w:spacing w:val="45"/>
        </w:rPr>
        <w:t> </w:t>
      </w:r>
      <w:r>
        <w:rPr/>
        <w:t>別。</w:t>
      </w:r>
    </w:p>
    <w:p>
      <w:pPr>
        <w:spacing w:after="0" w:line="314" w:lineRule="auto"/>
        <w:jc w:val="both"/>
        <w:sectPr>
          <w:pgSz w:w="11910" w:h="16840"/>
          <w:pgMar w:header="0" w:footer="1232" w:top="1440" w:bottom="1420" w:left="1400" w:right="900"/>
        </w:sectPr>
      </w:pPr>
    </w:p>
    <w:p>
      <w:pPr>
        <w:pStyle w:val="BodyText"/>
        <w:spacing w:line="314" w:lineRule="auto" w:before="0"/>
        <w:ind w:left="1113" w:right="0" w:hanging="406"/>
        <w:jc w:val="left"/>
      </w:pPr>
      <w:r>
        <w:rPr>
          <w:rFonts w:ascii="標楷體" w:hAnsi="標楷體" w:cs="標楷體" w:eastAsia="標楷體"/>
          <w:spacing w:val="-2"/>
        </w:rPr>
        <w:t>(4)</w:t>
      </w:r>
      <w:r>
        <w:rPr>
          <w:spacing w:val="-2"/>
        </w:rPr>
        <w:t>彈性制宜：學校得針對應屆畢業生、研究生、僅於夜間或假日上課、</w:t>
      </w:r>
      <w:r>
        <w:rPr>
          <w:spacing w:val="42"/>
        </w:rPr>
        <w:t> </w:t>
      </w:r>
      <w:r>
        <w:rPr>
          <w:spacing w:val="-2"/>
        </w:rPr>
        <w:t>臨時休退學或因故無法完成服務學習學生擬定替代方案。</w:t>
      </w:r>
    </w:p>
    <w:p>
      <w:pPr>
        <w:pStyle w:val="BodyText"/>
        <w:spacing w:line="314" w:lineRule="auto"/>
        <w:ind w:left="1113" w:right="176" w:hanging="406"/>
        <w:jc w:val="left"/>
      </w:pPr>
      <w:r>
        <w:rPr>
          <w:rFonts w:ascii="標楷體" w:hAnsi="標楷體" w:cs="標楷體" w:eastAsia="標楷體"/>
          <w:spacing w:val="-4"/>
        </w:rPr>
        <w:t>(5)</w:t>
      </w:r>
      <w:r>
        <w:rPr>
          <w:spacing w:val="-4"/>
        </w:rPr>
        <w:t>鼓勵措施：前一學年度服務學習績效卓著，或最近一學期學業成績平</w:t>
      </w:r>
      <w:r>
        <w:rPr>
          <w:spacing w:val="41"/>
        </w:rPr>
        <w:t> </w:t>
      </w:r>
      <w:r>
        <w:rPr/>
        <w:t>均達系所前</w:t>
      </w:r>
      <w:r>
        <w:rPr>
          <w:spacing w:val="-71"/>
        </w:rPr>
        <w:t> </w:t>
      </w:r>
      <w:r>
        <w:rPr>
          <w:rFonts w:ascii="標楷體" w:hAnsi="標楷體" w:cs="標楷體" w:eastAsia="標楷體"/>
          <w:spacing w:val="-2"/>
        </w:rPr>
        <w:t>30</w:t>
      </w:r>
      <w:r>
        <w:rPr>
          <w:spacing w:val="-2"/>
        </w:rPr>
        <w:t>％者，其服務學習時數得予以減免。</w:t>
      </w:r>
    </w:p>
    <w:p>
      <w:pPr>
        <w:pStyle w:val="BodyText"/>
        <w:spacing w:line="314" w:lineRule="auto"/>
        <w:ind w:left="943" w:right="0" w:hanging="281"/>
        <w:jc w:val="left"/>
      </w:pPr>
      <w:r>
        <w:rPr>
          <w:rFonts w:ascii="標楷體" w:hAnsi="標楷體" w:cs="標楷體" w:eastAsia="標楷體"/>
          <w:spacing w:val="6"/>
        </w:rPr>
        <w:t>4.</w:t>
      </w:r>
      <w:r>
        <w:rPr>
          <w:spacing w:val="6"/>
        </w:rPr>
        <w:t>考核機制</w:t>
      </w:r>
      <w:r>
        <w:rPr>
          <w:rFonts w:ascii="標楷體" w:hAnsi="標楷體" w:cs="標楷體" w:eastAsia="標楷體"/>
          <w:spacing w:val="6"/>
        </w:rPr>
        <w:t>:</w:t>
      </w:r>
      <w:r>
        <w:rPr>
          <w:spacing w:val="6"/>
        </w:rPr>
        <w:t>學校針對領取生活助學金之學生，應建立服務學習考核機</w:t>
      </w:r>
      <w:r>
        <w:rPr>
          <w:spacing w:val="63"/>
        </w:rPr>
        <w:t> </w:t>
      </w:r>
      <w:r>
        <w:rPr>
          <w:spacing w:val="-1"/>
        </w:rPr>
        <w:t>制，並作為下次是否核發生活助學金之參考。</w:t>
      </w:r>
    </w:p>
    <w:p>
      <w:pPr>
        <w:pStyle w:val="BodyText"/>
        <w:spacing w:line="314" w:lineRule="auto"/>
        <w:ind w:left="822" w:right="1450" w:hanging="161"/>
        <w:jc w:val="left"/>
      </w:pPr>
      <w:r>
        <w:rPr>
          <w:spacing w:val="-1"/>
        </w:rPr>
        <w:t>三、緊急紓困助學金</w:t>
      </w:r>
      <w:r>
        <w:rPr>
          <w:spacing w:val="21"/>
        </w:rPr>
        <w:t> </w:t>
      </w:r>
      <w:r>
        <w:rPr>
          <w:spacing w:val="-1"/>
        </w:rPr>
        <w:t>其申請資格及辦理方式由各校自行訂定。</w:t>
      </w:r>
    </w:p>
    <w:p>
      <w:pPr>
        <w:pStyle w:val="BodyText"/>
        <w:spacing w:line="240" w:lineRule="auto"/>
        <w:ind w:right="0"/>
        <w:jc w:val="left"/>
      </w:pPr>
      <w:bookmarkStart w:name="四、住宿優惠" w:id="3"/>
      <w:bookmarkEnd w:id="3"/>
      <w:r>
        <w:rPr/>
      </w:r>
      <w:r>
        <w:rPr>
          <w:spacing w:val="-1"/>
        </w:rPr>
        <w:t>四、住宿優惠</w:t>
      </w:r>
    </w:p>
    <w:p>
      <w:pPr>
        <w:pStyle w:val="BodyText"/>
        <w:spacing w:line="314" w:lineRule="auto" w:before="113"/>
        <w:ind w:left="1021" w:right="176" w:hanging="840"/>
        <w:jc w:val="left"/>
      </w:pPr>
      <w:r>
        <w:rPr/>
        <w:t>（一）申請資格：符合助學金所定成績條件之低收入戶學生及中低收入戶學 </w:t>
      </w:r>
      <w:r>
        <w:rPr>
          <w:spacing w:val="-1"/>
        </w:rPr>
        <w:t>生均得向學校提出申請。</w:t>
      </w:r>
    </w:p>
    <w:p>
      <w:pPr>
        <w:pStyle w:val="BodyText"/>
        <w:spacing w:line="240" w:lineRule="auto"/>
        <w:ind w:left="181" w:right="0"/>
        <w:jc w:val="left"/>
      </w:pPr>
      <w:r>
        <w:rPr>
          <w:spacing w:val="-1"/>
        </w:rPr>
        <w:t>（二）辦理方式：</w:t>
      </w:r>
    </w:p>
    <w:p>
      <w:pPr>
        <w:pStyle w:val="BodyText"/>
        <w:spacing w:line="240" w:lineRule="auto" w:before="113"/>
        <w:ind w:left="661" w:right="0"/>
        <w:jc w:val="left"/>
      </w:pPr>
      <w:r>
        <w:rPr>
          <w:rFonts w:ascii="標楷體" w:hAnsi="標楷體" w:cs="標楷體" w:eastAsia="標楷體"/>
          <w:spacing w:val="-1"/>
        </w:rPr>
        <w:t>1.</w:t>
      </w:r>
      <w:r>
        <w:rPr>
          <w:spacing w:val="-1"/>
        </w:rPr>
        <w:t>符合申請資格之低收入戶學生，各校應免費提供校內宿舍住宿。</w:t>
      </w:r>
    </w:p>
    <w:p>
      <w:pPr>
        <w:pStyle w:val="BodyText"/>
        <w:spacing w:line="240" w:lineRule="auto" w:before="113"/>
        <w:ind w:left="661" w:right="0"/>
        <w:jc w:val="left"/>
      </w:pPr>
      <w:r>
        <w:rPr>
          <w:rFonts w:ascii="標楷體" w:hAnsi="標楷體" w:cs="標楷體" w:eastAsia="標楷體"/>
          <w:spacing w:val="-1"/>
        </w:rPr>
        <w:t>2.</w:t>
      </w:r>
      <w:r>
        <w:rPr>
          <w:spacing w:val="-1"/>
        </w:rPr>
        <w:t>符合申請資格之中低收入戶學生，各校應優先提供校內宿舍住宿。</w:t>
      </w:r>
    </w:p>
    <w:p>
      <w:pPr>
        <w:pStyle w:val="BodyText"/>
        <w:spacing w:line="240" w:lineRule="auto" w:before="113"/>
        <w:ind w:left="661" w:right="0"/>
        <w:jc w:val="left"/>
      </w:pPr>
      <w:r>
        <w:rPr>
          <w:rFonts w:ascii="標楷體" w:hAnsi="標楷體" w:cs="標楷體" w:eastAsia="標楷體"/>
          <w:spacing w:val="-1"/>
        </w:rPr>
        <w:t>3.</w:t>
      </w:r>
      <w:r>
        <w:rPr>
          <w:spacing w:val="-1"/>
        </w:rPr>
        <w:t>本項住宿優惠期間應包含寒暑假等短期住宿。</w:t>
      </w:r>
    </w:p>
    <w:p>
      <w:pPr>
        <w:pStyle w:val="BodyText"/>
        <w:spacing w:line="314" w:lineRule="auto" w:before="113"/>
        <w:ind w:left="942" w:right="174" w:hanging="281"/>
        <w:jc w:val="both"/>
      </w:pPr>
      <w:r>
        <w:rPr>
          <w:rFonts w:ascii="標楷體" w:hAnsi="標楷體" w:cs="標楷體" w:eastAsia="標楷體"/>
          <w:spacing w:val="2"/>
        </w:rPr>
        <w:t>4.</w:t>
      </w:r>
      <w:r>
        <w:rPr>
          <w:spacing w:val="2"/>
        </w:rPr>
        <w:t>各校得要求前開學生參與生活服務學習。有關生活服務學習時數及方</w:t>
      </w:r>
      <w:r>
        <w:rPr>
          <w:spacing w:val="28"/>
        </w:rPr>
        <w:t> </w:t>
      </w:r>
      <w:r>
        <w:rPr>
          <w:spacing w:val="2"/>
        </w:rPr>
        <w:t>式由學校規劃，並得視生活服務學習情形作為下一次是否提供住宿優</w:t>
      </w:r>
      <w:r>
        <w:rPr>
          <w:spacing w:val="26"/>
        </w:rPr>
        <w:t> </w:t>
      </w:r>
      <w:r>
        <w:rPr>
          <w:spacing w:val="-1"/>
        </w:rPr>
        <w:t>惠之參考。</w:t>
      </w:r>
    </w:p>
    <w:p>
      <w:pPr>
        <w:pStyle w:val="BodyText"/>
        <w:spacing w:line="240" w:lineRule="auto"/>
        <w:ind w:right="0"/>
        <w:jc w:val="left"/>
      </w:pPr>
      <w:r>
        <w:rPr>
          <w:spacing w:val="-1"/>
        </w:rPr>
        <w:t>五、經費分擔</w:t>
      </w:r>
    </w:p>
    <w:p>
      <w:pPr>
        <w:pStyle w:val="BodyText"/>
        <w:spacing w:line="240" w:lineRule="auto" w:before="113"/>
        <w:ind w:right="0"/>
        <w:jc w:val="left"/>
      </w:pPr>
      <w:r>
        <w:rPr>
          <w:spacing w:val="-1"/>
        </w:rPr>
        <w:t>（一）助學金：</w:t>
      </w:r>
    </w:p>
    <w:p>
      <w:pPr>
        <w:pStyle w:val="BodyText"/>
        <w:spacing w:line="240" w:lineRule="auto" w:before="113"/>
        <w:ind w:left="539" w:right="0"/>
        <w:jc w:val="left"/>
      </w:pPr>
      <w:r>
        <w:rPr>
          <w:rFonts w:ascii="標楷體" w:hAnsi="標楷體" w:cs="標楷體" w:eastAsia="標楷體"/>
          <w:spacing w:val="-1"/>
        </w:rPr>
        <w:t>1.</w:t>
      </w:r>
      <w:r>
        <w:rPr>
          <w:spacing w:val="-1"/>
        </w:rPr>
        <w:t>公立學校自行於預算內編列。</w:t>
      </w:r>
    </w:p>
    <w:p>
      <w:pPr>
        <w:pStyle w:val="BodyText"/>
        <w:spacing w:line="240" w:lineRule="auto" w:before="113"/>
        <w:ind w:left="539" w:right="0"/>
        <w:jc w:val="left"/>
        <w:rPr>
          <w:rFonts w:ascii="標楷體" w:hAnsi="標楷體" w:cs="標楷體" w:eastAsia="標楷體"/>
        </w:rPr>
      </w:pPr>
      <w:r>
        <w:rPr>
          <w:rFonts w:ascii="標楷體" w:hAnsi="標楷體" w:cs="標楷體" w:eastAsia="標楷體"/>
          <w:spacing w:val="1"/>
        </w:rPr>
        <w:t>2.</w:t>
      </w:r>
      <w:r>
        <w:rPr>
          <w:spacing w:val="1"/>
        </w:rPr>
        <w:t>私立學校比照共同助學措施，第一、二級申請對象（家庭年收入在</w:t>
      </w:r>
      <w:r>
        <w:rPr>
          <w:spacing w:val="4"/>
        </w:rPr>
        <w:t> </w:t>
      </w:r>
      <w:r>
        <w:rPr>
          <w:rFonts w:ascii="標楷體" w:hAnsi="標楷體" w:cs="標楷體" w:eastAsia="標楷體"/>
          <w:spacing w:val="-2"/>
        </w:rPr>
        <w:t>40</w:t>
      </w:r>
      <w:r>
        <w:rPr>
          <w:rFonts w:ascii="標楷體" w:hAnsi="標楷體" w:cs="標楷體" w:eastAsia="標楷體"/>
        </w:rPr>
      </w:r>
    </w:p>
    <w:p>
      <w:pPr>
        <w:pStyle w:val="BodyText"/>
        <w:spacing w:line="240" w:lineRule="auto" w:before="113"/>
        <w:ind w:left="764" w:right="123"/>
        <w:jc w:val="center"/>
      </w:pPr>
      <w:r>
        <w:rPr/>
        <w:t>萬元以</w:t>
      </w:r>
      <w:r>
        <w:rPr>
          <w:spacing w:val="-3"/>
        </w:rPr>
        <w:t>下</w:t>
      </w:r>
      <w:r>
        <w:rPr>
          <w:spacing w:val="-140"/>
        </w:rPr>
        <w:t>）</w:t>
      </w:r>
      <w:r>
        <w:rPr>
          <w:spacing w:val="-3"/>
        </w:rPr>
        <w:t>，</w:t>
      </w:r>
      <w:r>
        <w:rPr/>
        <w:t>由學</w:t>
      </w:r>
      <w:r>
        <w:rPr>
          <w:spacing w:val="-3"/>
        </w:rPr>
        <w:t>校</w:t>
      </w:r>
      <w:r>
        <w:rPr/>
        <w:t>支付每人</w:t>
      </w:r>
      <w:r>
        <w:rPr>
          <w:spacing w:val="-49"/>
        </w:rPr>
        <w:t> </w:t>
      </w:r>
      <w:r>
        <w:rPr>
          <w:rFonts w:ascii="標楷體" w:hAnsi="標楷體" w:cs="標楷體" w:eastAsia="標楷體"/>
        </w:rPr>
        <w:t>1</w:t>
      </w:r>
      <w:r>
        <w:rPr>
          <w:rFonts w:ascii="標楷體" w:hAnsi="標楷體" w:cs="標楷體" w:eastAsia="標楷體"/>
          <w:spacing w:val="-50"/>
        </w:rPr>
        <w:t> </w:t>
      </w:r>
      <w:r>
        <w:rPr/>
        <w:t>萬</w:t>
      </w:r>
      <w:r>
        <w:rPr>
          <w:spacing w:val="-49"/>
        </w:rPr>
        <w:t> </w:t>
      </w:r>
      <w:r>
        <w:rPr>
          <w:rFonts w:ascii="標楷體" w:hAnsi="標楷體" w:cs="標楷體" w:eastAsia="標楷體"/>
          <w:spacing w:val="-2"/>
        </w:rPr>
        <w:t>4,00</w:t>
      </w:r>
      <w:r>
        <w:rPr>
          <w:rFonts w:ascii="標楷體" w:hAnsi="標楷體" w:cs="標楷體" w:eastAsia="標楷體"/>
        </w:rPr>
        <w:t>0</w:t>
      </w:r>
      <w:r>
        <w:rPr>
          <w:rFonts w:ascii="標楷體" w:hAnsi="標楷體" w:cs="標楷體" w:eastAsia="標楷體"/>
          <w:spacing w:val="-51"/>
        </w:rPr>
        <w:t> </w:t>
      </w:r>
      <w:r>
        <w:rPr/>
        <w:t>元；第三、</w:t>
      </w:r>
      <w:r>
        <w:rPr>
          <w:spacing w:val="-3"/>
        </w:rPr>
        <w:t>四級</w:t>
      </w:r>
      <w:r>
        <w:rPr/>
        <w:t>申請對</w:t>
      </w:r>
      <w:r>
        <w:rPr>
          <w:spacing w:val="-3"/>
        </w:rPr>
        <w:t>象</w:t>
      </w:r>
      <w:r>
        <w:rPr/>
        <w:t>（超</w:t>
      </w:r>
    </w:p>
    <w:p>
      <w:pPr>
        <w:pStyle w:val="BodyText"/>
        <w:spacing w:line="240" w:lineRule="auto" w:before="113"/>
        <w:ind w:left="764" w:right="123"/>
        <w:jc w:val="center"/>
      </w:pPr>
      <w:r>
        <w:rPr/>
        <w:t>過</w:t>
      </w:r>
      <w:r>
        <w:rPr>
          <w:spacing w:val="-57"/>
        </w:rPr>
        <w:t> </w:t>
      </w:r>
      <w:r>
        <w:rPr>
          <w:rFonts w:ascii="標楷體" w:hAnsi="標楷體" w:cs="標楷體" w:eastAsia="標楷體"/>
          <w:spacing w:val="1"/>
        </w:rPr>
        <w:t>4</w:t>
      </w:r>
      <w:r>
        <w:rPr>
          <w:rFonts w:ascii="標楷體" w:hAnsi="標楷體" w:cs="標楷體" w:eastAsia="標楷體"/>
        </w:rPr>
        <w:t>0</w:t>
      </w:r>
      <w:r>
        <w:rPr>
          <w:rFonts w:ascii="標楷體" w:hAnsi="標楷體" w:cs="標楷體" w:eastAsia="標楷體"/>
          <w:spacing w:val="-58"/>
        </w:rPr>
        <w:t> </w:t>
      </w:r>
      <w:r>
        <w:rPr/>
        <w:t>萬元至</w:t>
      </w:r>
      <w:r>
        <w:rPr>
          <w:spacing w:val="-57"/>
        </w:rPr>
        <w:t> </w:t>
      </w:r>
      <w:r>
        <w:rPr>
          <w:rFonts w:ascii="標楷體" w:hAnsi="標楷體" w:cs="標楷體" w:eastAsia="標楷體"/>
          <w:spacing w:val="-2"/>
        </w:rPr>
        <w:t>6</w:t>
      </w:r>
      <w:r>
        <w:rPr>
          <w:rFonts w:ascii="標楷體" w:hAnsi="標楷體" w:cs="標楷體" w:eastAsia="標楷體"/>
        </w:rPr>
        <w:t>0</w:t>
      </w:r>
      <w:r>
        <w:rPr>
          <w:rFonts w:ascii="標楷體" w:hAnsi="標楷體" w:cs="標楷體" w:eastAsia="標楷體"/>
          <w:spacing w:val="-58"/>
        </w:rPr>
        <w:t> </w:t>
      </w:r>
      <w:r>
        <w:rPr>
          <w:spacing w:val="-3"/>
        </w:rPr>
        <w:t>萬</w:t>
      </w:r>
      <w:r>
        <w:rPr/>
        <w:t>元以</w:t>
      </w:r>
      <w:r>
        <w:rPr>
          <w:spacing w:val="-3"/>
        </w:rPr>
        <w:t>下</w:t>
      </w:r>
      <w:r>
        <w:rPr>
          <w:spacing w:val="-140"/>
        </w:rPr>
        <w:t>）</w:t>
      </w:r>
      <w:r>
        <w:rPr/>
        <w:t>，</w:t>
      </w:r>
      <w:r>
        <w:rPr>
          <w:spacing w:val="-3"/>
        </w:rPr>
        <w:t>由</w:t>
      </w:r>
      <w:r>
        <w:rPr/>
        <w:t>學校</w:t>
      </w:r>
      <w:r>
        <w:rPr>
          <w:spacing w:val="-3"/>
        </w:rPr>
        <w:t>支</w:t>
      </w:r>
      <w:r>
        <w:rPr/>
        <w:t>付每人</w:t>
      </w:r>
      <w:r>
        <w:rPr>
          <w:spacing w:val="-56"/>
        </w:rPr>
        <w:t> </w:t>
      </w:r>
      <w:r>
        <w:rPr>
          <w:rFonts w:ascii="標楷體" w:hAnsi="標楷體" w:cs="標楷體" w:eastAsia="標楷體"/>
        </w:rPr>
        <w:t>1</w:t>
      </w:r>
      <w:r>
        <w:rPr>
          <w:rFonts w:ascii="標楷體" w:hAnsi="標楷體" w:cs="標楷體" w:eastAsia="標楷體"/>
          <w:spacing w:val="-58"/>
        </w:rPr>
        <w:t> </w:t>
      </w:r>
      <w:r>
        <w:rPr/>
        <w:t>萬元</w:t>
      </w:r>
      <w:r>
        <w:rPr>
          <w:spacing w:val="-3"/>
        </w:rPr>
        <w:t>，不</w:t>
      </w:r>
      <w:r>
        <w:rPr/>
        <w:t>足之差</w:t>
      </w:r>
      <w:r>
        <w:rPr>
          <w:spacing w:val="-3"/>
        </w:rPr>
        <w:t>額</w:t>
      </w:r>
      <w:r>
        <w:rPr/>
        <w:t>及第</w:t>
      </w:r>
    </w:p>
    <w:p>
      <w:pPr>
        <w:pStyle w:val="BodyText"/>
        <w:spacing w:line="240" w:lineRule="auto" w:before="113"/>
        <w:ind w:left="816" w:right="123"/>
        <w:jc w:val="center"/>
      </w:pPr>
      <w:r>
        <w:rPr>
          <w:spacing w:val="-1"/>
        </w:rPr>
        <w:t>五級申請對象（超過</w:t>
      </w:r>
      <w:r>
        <w:rPr>
          <w:spacing w:val="-71"/>
        </w:rPr>
        <w:t> </w:t>
      </w:r>
      <w:r>
        <w:rPr>
          <w:rFonts w:ascii="標楷體" w:hAnsi="標楷體" w:cs="標楷體" w:eastAsia="標楷體"/>
        </w:rPr>
        <w:t>60</w:t>
      </w:r>
      <w:r>
        <w:rPr>
          <w:rFonts w:ascii="標楷體" w:hAnsi="標楷體" w:cs="標楷體" w:eastAsia="標楷體"/>
          <w:spacing w:val="-72"/>
        </w:rPr>
        <w:t> </w:t>
      </w:r>
      <w:r>
        <w:rPr/>
        <w:t>萬元至</w:t>
      </w:r>
      <w:r>
        <w:rPr>
          <w:spacing w:val="-71"/>
        </w:rPr>
        <w:t> </w:t>
      </w:r>
      <w:r>
        <w:rPr>
          <w:rFonts w:ascii="標楷體" w:hAnsi="標楷體" w:cs="標楷體" w:eastAsia="標楷體"/>
          <w:spacing w:val="-1"/>
        </w:rPr>
        <w:t>70</w:t>
      </w:r>
      <w:r>
        <w:rPr>
          <w:rFonts w:ascii="標楷體" w:hAnsi="標楷體" w:cs="標楷體" w:eastAsia="標楷體"/>
          <w:spacing w:val="-72"/>
        </w:rPr>
        <w:t> </w:t>
      </w:r>
      <w:r>
        <w:rPr>
          <w:spacing w:val="-1"/>
        </w:rPr>
        <w:t>萬元以下）所需經費，由本部補助。</w:t>
      </w:r>
    </w:p>
    <w:p>
      <w:pPr>
        <w:pStyle w:val="BodyText"/>
        <w:spacing w:line="314" w:lineRule="auto" w:before="113"/>
        <w:ind w:left="820" w:right="0" w:hanging="281"/>
        <w:jc w:val="left"/>
      </w:pPr>
      <w:r>
        <w:rPr>
          <w:rFonts w:ascii="標楷體" w:hAnsi="標楷體" w:cs="標楷體" w:eastAsia="標楷體"/>
          <w:spacing w:val="1"/>
        </w:rPr>
        <w:t>3</w:t>
      </w:r>
      <w:r>
        <w:rPr>
          <w:rFonts w:ascii="標楷體" w:hAnsi="標楷體" w:cs="標楷體" w:eastAsia="標楷體"/>
          <w:spacing w:val="-2"/>
        </w:rPr>
        <w:t>.</w:t>
      </w:r>
      <w:r>
        <w:rPr/>
        <w:t>私立</w:t>
      </w:r>
      <w:r>
        <w:rPr>
          <w:spacing w:val="-3"/>
        </w:rPr>
        <w:t>學校</w:t>
      </w:r>
      <w:r>
        <w:rPr/>
        <w:t>全校學</w:t>
      </w:r>
      <w:r>
        <w:rPr>
          <w:spacing w:val="-3"/>
        </w:rPr>
        <w:t>雜</w:t>
      </w:r>
      <w:r>
        <w:rPr/>
        <w:t>費收</w:t>
      </w:r>
      <w:r>
        <w:rPr>
          <w:spacing w:val="-3"/>
        </w:rPr>
        <w:t>費採</w:t>
      </w:r>
      <w:r>
        <w:rPr/>
        <w:t>公立學</w:t>
      </w:r>
      <w:r>
        <w:rPr>
          <w:spacing w:val="-3"/>
        </w:rPr>
        <w:t>校</w:t>
      </w:r>
      <w:r>
        <w:rPr/>
        <w:t>收費</w:t>
      </w:r>
      <w:r>
        <w:rPr>
          <w:spacing w:val="-3"/>
        </w:rPr>
        <w:t>標</w:t>
      </w:r>
      <w:r>
        <w:rPr>
          <w:spacing w:val="-29"/>
        </w:rPr>
        <w:t>準</w:t>
      </w:r>
      <w:r>
        <w:rPr>
          <w:spacing w:val="-27"/>
        </w:rPr>
        <w:t>，</w:t>
      </w:r>
      <w:r>
        <w:rPr/>
        <w:t>且</w:t>
      </w:r>
      <w:r>
        <w:rPr>
          <w:spacing w:val="-3"/>
        </w:rPr>
        <w:t>助</w:t>
      </w:r>
      <w:r>
        <w:rPr/>
        <w:t>學金</w:t>
      </w:r>
      <w:r>
        <w:rPr>
          <w:spacing w:val="-3"/>
        </w:rPr>
        <w:t>補</w:t>
      </w:r>
      <w:r>
        <w:rPr/>
        <w:t>助</w:t>
      </w:r>
      <w:r>
        <w:rPr>
          <w:spacing w:val="-3"/>
        </w:rPr>
        <w:t>金</w:t>
      </w:r>
      <w:r>
        <w:rPr/>
        <w:t>額比照</w:t>
      </w:r>
      <w:r>
        <w:rPr/>
        <w:t> </w:t>
      </w:r>
      <w:r>
        <w:rPr>
          <w:spacing w:val="-1"/>
        </w:rPr>
        <w:t>公立學校者，助學金補助金額由本部補助。</w:t>
      </w:r>
    </w:p>
    <w:p>
      <w:pPr>
        <w:pStyle w:val="BodyText"/>
        <w:spacing w:line="240" w:lineRule="auto"/>
        <w:ind w:left="539" w:right="0"/>
        <w:jc w:val="left"/>
      </w:pPr>
      <w:r>
        <w:rPr>
          <w:rFonts w:ascii="標楷體" w:hAnsi="標楷體" w:cs="標楷體" w:eastAsia="標楷體"/>
          <w:spacing w:val="-1"/>
        </w:rPr>
        <w:t>4.</w:t>
      </w:r>
      <w:r>
        <w:rPr>
          <w:spacing w:val="-1"/>
        </w:rPr>
        <w:t>有關注意事項如下：</w:t>
      </w:r>
    </w:p>
    <w:p>
      <w:pPr>
        <w:pStyle w:val="BodyText"/>
        <w:spacing w:line="240" w:lineRule="auto" w:before="113"/>
        <w:ind w:left="690" w:right="0"/>
        <w:jc w:val="left"/>
      </w:pPr>
      <w:r>
        <w:rPr>
          <w:rFonts w:ascii="標楷體" w:hAnsi="標楷體" w:cs="標楷體" w:eastAsia="標楷體"/>
          <w:spacing w:val="-2"/>
        </w:rPr>
        <w:t>(1)</w:t>
      </w:r>
      <w:r>
        <w:rPr/>
        <w:t>助學金核發</w:t>
      </w:r>
      <w:r>
        <w:rPr>
          <w:spacing w:val="-71"/>
        </w:rPr>
        <w:t> </w:t>
      </w:r>
      <w:r>
        <w:rPr>
          <w:rFonts w:ascii="標楷體" w:hAnsi="標楷體" w:cs="標楷體" w:eastAsia="標楷體"/>
          <w:spacing w:val="-2"/>
        </w:rPr>
        <w:t>1/</w:t>
      </w:r>
      <w:r>
        <w:rPr>
          <w:rFonts w:ascii="標楷體" w:hAnsi="標楷體" w:cs="標楷體" w:eastAsia="標楷體"/>
        </w:rPr>
        <w:t>2</w:t>
      </w:r>
      <w:r>
        <w:rPr>
          <w:rFonts w:ascii="標楷體" w:hAnsi="標楷體" w:cs="標楷體" w:eastAsia="標楷體"/>
          <w:spacing w:val="-72"/>
        </w:rPr>
        <w:t> </w:t>
      </w:r>
      <w:r>
        <w:rPr>
          <w:spacing w:val="-68"/>
        </w:rPr>
        <w:t>者</w:t>
      </w:r>
      <w:r>
        <w:rPr>
          <w:spacing w:val="-70"/>
        </w:rPr>
        <w:t>，</w:t>
      </w:r>
      <w:r>
        <w:rPr/>
        <w:t>學校</w:t>
      </w:r>
      <w:r>
        <w:rPr>
          <w:spacing w:val="-3"/>
        </w:rPr>
        <w:t>自</w:t>
      </w:r>
      <w:r>
        <w:rPr/>
        <w:t>籌及</w:t>
      </w:r>
      <w:r>
        <w:rPr>
          <w:spacing w:val="-3"/>
        </w:rPr>
        <w:t>本</w:t>
      </w:r>
      <w:r>
        <w:rPr/>
        <w:t>部補助</w:t>
      </w:r>
      <w:r>
        <w:rPr>
          <w:spacing w:val="-3"/>
        </w:rPr>
        <w:t>金</w:t>
      </w:r>
      <w:r>
        <w:rPr/>
        <w:t>額皆</w:t>
      </w:r>
      <w:r>
        <w:rPr>
          <w:spacing w:val="-3"/>
        </w:rPr>
        <w:t>為原</w:t>
      </w:r>
      <w:r>
        <w:rPr/>
        <w:t>補助金額之</w:t>
      </w:r>
      <w:r>
        <w:rPr>
          <w:spacing w:val="-70"/>
        </w:rPr>
        <w:t> </w:t>
      </w:r>
      <w:r>
        <w:rPr>
          <w:rFonts w:ascii="標楷體" w:hAnsi="標楷體" w:cs="標楷體" w:eastAsia="標楷體"/>
          <w:spacing w:val="-2"/>
        </w:rPr>
        <w:t>1/</w:t>
      </w:r>
      <w:r>
        <w:rPr>
          <w:rFonts w:ascii="標楷體" w:hAnsi="標楷體" w:cs="標楷體" w:eastAsia="標楷體"/>
          <w:spacing w:val="-69"/>
        </w:rPr>
        <w:t>2</w:t>
      </w:r>
      <w:r>
        <w:rPr/>
        <w:t>。</w:t>
      </w:r>
    </w:p>
    <w:p>
      <w:pPr>
        <w:spacing w:after="0" w:line="240" w:lineRule="auto"/>
        <w:jc w:val="left"/>
        <w:sectPr>
          <w:pgSz w:w="11910" w:h="16840"/>
          <w:pgMar w:header="0" w:footer="1232" w:top="1500" w:bottom="1420" w:left="1380" w:right="900"/>
        </w:sectPr>
      </w:pPr>
    </w:p>
    <w:p>
      <w:pPr>
        <w:pStyle w:val="BodyText"/>
        <w:spacing w:line="314" w:lineRule="auto" w:before="0"/>
        <w:ind w:left="1060" w:right="176" w:hanging="421"/>
        <w:jc w:val="both"/>
      </w:pPr>
      <w:r>
        <w:rPr>
          <w:rFonts w:ascii="標楷體" w:hAnsi="標楷體" w:cs="標楷體" w:eastAsia="標楷體"/>
          <w:spacing w:val="-2"/>
        </w:rPr>
        <w:t>(2)</w:t>
      </w:r>
      <w:r>
        <w:rPr>
          <w:spacing w:val="-2"/>
        </w:rPr>
        <w:t>學生轉學時，由轉入學校於系統登錄學生身分證字號，將該筆資料轉</w:t>
      </w:r>
      <w:r>
        <w:rPr>
          <w:spacing w:val="23"/>
        </w:rPr>
        <w:t> </w:t>
      </w:r>
      <w:r>
        <w:rPr>
          <w:spacing w:val="-3"/>
        </w:rPr>
        <w:t>移回校內發放名單。轉學學生之助學金由轉入學校核發；如有公私立</w:t>
      </w:r>
      <w:r>
        <w:rPr>
          <w:spacing w:val="57"/>
        </w:rPr>
        <w:t> </w:t>
      </w:r>
      <w:r>
        <w:rPr>
          <w:spacing w:val="-3"/>
        </w:rPr>
        <w:t>學校互轉情形，核發金額以兩校應發助學金額之平均值計之，並由轉</w:t>
      </w:r>
      <w:r>
        <w:rPr>
          <w:spacing w:val="55"/>
        </w:rPr>
        <w:t> </w:t>
      </w:r>
      <w:r>
        <w:rPr/>
        <w:t>入學校</w:t>
      </w:r>
      <w:r>
        <w:rPr>
          <w:spacing w:val="-3"/>
        </w:rPr>
        <w:t>依</w:t>
      </w:r>
      <w:r>
        <w:rPr/>
        <w:t>前開</w:t>
      </w:r>
      <w:r>
        <w:rPr>
          <w:spacing w:val="-71"/>
        </w:rPr>
        <w:t> </w:t>
      </w:r>
      <w:r>
        <w:rPr>
          <w:rFonts w:ascii="標楷體" w:hAnsi="標楷體" w:cs="標楷體" w:eastAsia="標楷體"/>
          <w:spacing w:val="-2"/>
        </w:rPr>
        <w:t>2.</w:t>
      </w:r>
      <w:r>
        <w:rPr/>
        <w:t>規定負擔</w:t>
      </w:r>
      <w:r>
        <w:rPr>
          <w:spacing w:val="-3"/>
        </w:rPr>
        <w:t>助</w:t>
      </w:r>
      <w:r>
        <w:rPr/>
        <w:t>學金</w:t>
      </w:r>
      <w:r>
        <w:rPr>
          <w:spacing w:val="-3"/>
        </w:rPr>
        <w:t>金</w:t>
      </w:r>
      <w:r>
        <w:rPr>
          <w:spacing w:val="-29"/>
        </w:rPr>
        <w:t>額</w:t>
      </w:r>
      <w:r>
        <w:rPr>
          <w:spacing w:val="-27"/>
        </w:rPr>
        <w:t>；</w:t>
      </w:r>
      <w:r>
        <w:rPr/>
        <w:t>如有差</w:t>
      </w:r>
      <w:r>
        <w:rPr>
          <w:spacing w:val="-27"/>
        </w:rPr>
        <w:t>額</w:t>
      </w:r>
      <w:r>
        <w:rPr>
          <w:spacing w:val="-29"/>
        </w:rPr>
        <w:t>，</w:t>
      </w:r>
      <w:r>
        <w:rPr/>
        <w:t>私立</w:t>
      </w:r>
      <w:r>
        <w:rPr>
          <w:spacing w:val="-3"/>
        </w:rPr>
        <w:t>學</w:t>
      </w:r>
      <w:r>
        <w:rPr/>
        <w:t>校由本</w:t>
      </w:r>
      <w:r>
        <w:rPr>
          <w:spacing w:val="-3"/>
        </w:rPr>
        <w:t>部</w:t>
      </w:r>
      <w:r>
        <w:rPr/>
        <w:t>補</w:t>
      </w:r>
      <w:r>
        <w:rPr/>
        <w:t> </w:t>
      </w:r>
      <w:r>
        <w:rPr>
          <w:spacing w:val="-1"/>
        </w:rPr>
        <w:t>助，公立學校由自籌款支應。</w:t>
      </w:r>
    </w:p>
    <w:p>
      <w:pPr>
        <w:pStyle w:val="BodyText"/>
        <w:spacing w:line="314" w:lineRule="auto"/>
        <w:ind w:left="1060" w:right="108" w:hanging="421"/>
        <w:jc w:val="both"/>
      </w:pPr>
      <w:r>
        <w:rPr>
          <w:rFonts w:ascii="標楷體" w:hAnsi="標楷體" w:cs="標楷體" w:eastAsia="標楷體"/>
          <w:spacing w:val="-2"/>
        </w:rPr>
        <w:t>(3)</w:t>
      </w:r>
      <w:r>
        <w:rPr>
          <w:spacing w:val="-2"/>
        </w:rPr>
        <w:t>倘若助學金補助金額高於上下學期學雜費總額，僅得補助該學年度實</w:t>
      </w:r>
      <w:r>
        <w:rPr>
          <w:spacing w:val="24"/>
        </w:rPr>
        <w:t> </w:t>
      </w:r>
      <w:r>
        <w:rPr>
          <w:spacing w:val="-4"/>
        </w:rPr>
        <w:t>際繳納數額，學校依前開</w:t>
      </w:r>
      <w:r>
        <w:rPr>
          <w:spacing w:val="-71"/>
        </w:rPr>
        <w:t> </w:t>
      </w:r>
      <w:r>
        <w:rPr>
          <w:rFonts w:ascii="標楷體" w:hAnsi="標楷體" w:cs="標楷體" w:eastAsia="標楷體"/>
          <w:spacing w:val="-2"/>
        </w:rPr>
        <w:t>2.</w:t>
      </w:r>
      <w:r>
        <w:rPr>
          <w:spacing w:val="-2"/>
        </w:rPr>
        <w:t>規定負擔助學金金額，差額由本部補助。</w:t>
      </w:r>
    </w:p>
    <w:p>
      <w:pPr>
        <w:pStyle w:val="BodyText"/>
        <w:spacing w:line="314" w:lineRule="auto"/>
        <w:ind w:left="940" w:right="178" w:hanging="841"/>
        <w:jc w:val="both"/>
      </w:pPr>
      <w:r>
        <w:rPr>
          <w:spacing w:val="1"/>
        </w:rPr>
        <w:t>（二）生活助學金：由學校自籌經費支應；本部得視當年度預算及各私立學</w:t>
      </w:r>
      <w:r>
        <w:rPr>
          <w:spacing w:val="34"/>
        </w:rPr>
        <w:t> </w:t>
      </w:r>
      <w:r>
        <w:rPr>
          <w:spacing w:val="-1"/>
        </w:rPr>
        <w:t>校前項助學金自籌金額比率，酌予補助。</w:t>
      </w:r>
    </w:p>
    <w:p>
      <w:pPr>
        <w:pStyle w:val="BodyText"/>
        <w:spacing w:line="240" w:lineRule="auto"/>
        <w:ind w:left="104" w:right="0"/>
        <w:jc w:val="left"/>
      </w:pPr>
      <w:r>
        <w:rPr>
          <w:spacing w:val="-1"/>
        </w:rPr>
        <w:t>（三）緊急紓困助學金：由學校自籌經費支應。</w:t>
      </w:r>
    </w:p>
    <w:p>
      <w:pPr>
        <w:pStyle w:val="BodyText"/>
        <w:spacing w:line="240" w:lineRule="auto" w:before="113"/>
        <w:ind w:left="100" w:right="0"/>
        <w:jc w:val="left"/>
      </w:pPr>
      <w:r>
        <w:rPr>
          <w:spacing w:val="-1"/>
        </w:rPr>
        <w:t>（四）住宿優惠：由學校自籌經費支應。</w:t>
      </w:r>
    </w:p>
    <w:p>
      <w:pPr>
        <w:pStyle w:val="BodyText"/>
        <w:spacing w:line="314" w:lineRule="auto" w:before="113"/>
        <w:ind w:left="940" w:right="177" w:hanging="841"/>
        <w:jc w:val="both"/>
      </w:pPr>
      <w:r>
        <w:rPr>
          <w:spacing w:val="1"/>
        </w:rPr>
        <w:t>（五）學校辦理大專校院弱勢學生助學計畫之執行成效，將列入次一年度學</w:t>
      </w:r>
      <w:r>
        <w:rPr>
          <w:spacing w:val="34"/>
        </w:rPr>
        <w:t> </w:t>
      </w:r>
      <w:r>
        <w:rPr>
          <w:spacing w:val="1"/>
        </w:rPr>
        <w:t>雜費調整、相關評鑑、國立大學績效型補助及私立大學獎補助經費分</w:t>
      </w:r>
      <w:r>
        <w:rPr>
          <w:spacing w:val="44"/>
        </w:rPr>
        <w:t> </w:t>
      </w:r>
      <w:r>
        <w:rPr>
          <w:spacing w:val="-1"/>
        </w:rPr>
        <w:t>配之指標。</w:t>
      </w:r>
    </w:p>
    <w:sectPr>
      <w:pgSz w:w="11910" w:h="16840"/>
      <w:pgMar w:header="0" w:footer="1232" w:top="1500" w:bottom="1420" w:left="14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3.079987pt;margin-top:769.30542pt;width:9pt;height:12pt;mso-position-horizontal-relative:page;mso-position-vertical-relative:page;z-index:-8320" type="#_x0000_t202" filled="false" stroked="false">
          <v:textbox inset="0,0,0,0">
            <w:txbxContent>
              <w:p>
                <w:pPr>
                  <w:spacing w:line="224" w:lineRule="exact" w:before="0"/>
                  <w:ind w:left="40" w:right="0" w:firstLine="0"/>
                  <w:jc w:val="left"/>
                  <w:rPr>
                    <w:rFonts w:ascii="Times New Roman" w:hAnsi="Times New Roman" w:cs="Times New Roman" w:eastAsia="Times New Roman"/>
                    <w:sz w:val="20"/>
                    <w:szCs w:val="20"/>
                  </w:rPr>
                </w:pPr>
                <w:r>
                  <w:rPr>
                    <w:rFonts w:ascii="Times New Roman"/>
                    <w:w w:val="99"/>
                    <w:sz w:val="20"/>
                  </w:rPr>
                </w:r>
                <w:r>
                  <w:rPr/>
                  <w:fldChar w:fldCharType="begin"/>
                </w:r>
                <w:r>
                  <w:rPr>
                    <w:rFonts w:ascii="Times New Roman"/>
                    <w:sz w:val="20"/>
                  </w:rPr>
                  <w:instrText> PAGE </w:instrText>
                </w:r>
                <w:r>
                  <w:rPr/>
                  <w:fldChar w:fldCharType="separate"/>
                </w:r>
                <w:r>
                  <w:rPr/>
                  <w:t>1</w:t>
                </w:r>
                <w:r>
                  <w:rPr/>
                  <w:fldChar w:fldCharType="end"/>
                </w:r>
                <w:r>
                  <w:rPr>
                    <w:rFonts w:ascii="Times New Roman"/>
                    <w:sz w:val="20"/>
                  </w:rPr>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26"/>
      <w:ind w:left="119"/>
    </w:pPr>
    <w:rPr>
      <w:rFonts w:ascii="標楷體" w:hAnsi="標楷體" w:eastAsia="標楷體"/>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dc:title>弱勢學生照顧助學專款計畫(草案)</dc:title>
  <dcterms:created xsi:type="dcterms:W3CDTF">2016-06-23T16:48:57Z</dcterms:created>
  <dcterms:modified xsi:type="dcterms:W3CDTF">2016-06-23T16:48:57Z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2016-06-21T00:00:00Z</vt:filetime>
  </property>
  <property fmtid="{D5CDD505-2E9C-101B-9397-08002B2CF9AE}" pid="3" name="LastSaved">
    <vt:filetime>2016-06-23T00:00:00Z</vt:filetime>
  </property>
</Properties>
</file>