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C3" w:rsidRPr="00C2002E" w:rsidRDefault="00865FC3" w:rsidP="00601DFF">
      <w:pPr>
        <w:snapToGrid w:val="0"/>
        <w:spacing w:line="560" w:lineRule="exact"/>
        <w:jc w:val="both"/>
        <w:rPr>
          <w:rFonts w:ascii="華康楷書體W5" w:eastAsia="標楷體" w:hint="eastAsia"/>
          <w:bCs/>
          <w:color w:val="000000"/>
          <w:sz w:val="40"/>
          <w:szCs w:val="40"/>
        </w:rPr>
      </w:pPr>
      <w:r w:rsidRPr="00C2002E">
        <w:rPr>
          <w:rFonts w:ascii="華康楷書體W5" w:eastAsia="標楷體" w:hint="eastAsia"/>
          <w:bCs/>
          <w:color w:val="000000"/>
          <w:sz w:val="40"/>
          <w:szCs w:val="40"/>
        </w:rPr>
        <w:t>預防接種受害救濟基金徵收及審議辦法</w:t>
      </w:r>
      <w:r w:rsidR="00CA2014" w:rsidRPr="00C2002E">
        <w:rPr>
          <w:rFonts w:ascii="華康楷書體W5" w:eastAsia="標楷體" w:hint="eastAsia"/>
          <w:bCs/>
          <w:color w:val="000000"/>
          <w:sz w:val="40"/>
          <w:szCs w:val="40"/>
        </w:rPr>
        <w:t>部分條文</w:t>
      </w:r>
      <w:r w:rsidR="00C2002E" w:rsidRPr="00C2002E">
        <w:rPr>
          <w:rFonts w:ascii="華康楷書體W5" w:eastAsia="標楷體" w:hint="eastAsia"/>
          <w:bCs/>
          <w:color w:val="000000"/>
          <w:sz w:val="40"/>
          <w:szCs w:val="40"/>
        </w:rPr>
        <w:t>修正條文</w:t>
      </w:r>
    </w:p>
    <w:p w:rsidR="00CA2014" w:rsidRPr="00CA2014" w:rsidRDefault="00CA2014" w:rsidP="00CA2014">
      <w:pPr>
        <w:snapToGrid w:val="0"/>
        <w:jc w:val="both"/>
        <w:rPr>
          <w:rFonts w:ascii="標楷體" w:eastAsia="標楷體" w:hAnsi="標楷體" w:hint="eastAsia"/>
          <w:b/>
          <w:bCs/>
          <w:sz w:val="36"/>
        </w:rPr>
      </w:pPr>
    </w:p>
    <w:p w:rsidR="00B643E9" w:rsidRPr="005D46A4" w:rsidRDefault="00865FC3" w:rsidP="005D46A4">
      <w:pPr>
        <w:spacing w:line="520" w:lineRule="exact"/>
        <w:ind w:left="840" w:hangingChars="300" w:hanging="84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第二條　　</w:t>
      </w:r>
      <w:r w:rsidR="00B643E9" w:rsidRPr="005D46A4">
        <w:rPr>
          <w:rFonts w:ascii="標楷體" w:eastAsia="標楷體" w:hAnsi="標楷體" w:hint="eastAsia"/>
          <w:color w:val="000000"/>
          <w:sz w:val="28"/>
          <w:szCs w:val="28"/>
        </w:rPr>
        <w:t>本人或母體疑因預防接種而受害者，得依本辦法之規定請求救濟。</w:t>
      </w:r>
    </w:p>
    <w:p w:rsidR="00B643E9" w:rsidRPr="005D46A4" w:rsidRDefault="00B643E9" w:rsidP="005D46A4">
      <w:pPr>
        <w:widowControl/>
        <w:spacing w:line="520" w:lineRule="exact"/>
        <w:ind w:leftChars="350" w:left="840"/>
        <w:rPr>
          <w:rFonts w:ascii="標楷體" w:eastAsia="標楷體" w:hAnsi="細明體" w:cs="細明體" w:hint="eastAsia"/>
          <w:kern w:val="0"/>
          <w:sz w:val="28"/>
          <w:szCs w:val="28"/>
        </w:rPr>
      </w:pPr>
      <w:r w:rsidRPr="005D46A4">
        <w:rPr>
          <w:rFonts w:ascii="標楷體" w:eastAsia="標楷體" w:hAnsi="標楷體" w:hint="eastAsia"/>
          <w:color w:val="000000"/>
          <w:sz w:val="28"/>
          <w:szCs w:val="28"/>
        </w:rPr>
        <w:t xml:space="preserve">　　</w:t>
      </w:r>
      <w:r w:rsidR="002E6777" w:rsidRPr="005D46A4">
        <w:rPr>
          <w:rFonts w:ascii="標楷體" w:eastAsia="標楷體" w:hAnsi="細明體" w:cs="細明體" w:hint="eastAsia"/>
          <w:kern w:val="0"/>
          <w:sz w:val="28"/>
          <w:szCs w:val="28"/>
        </w:rPr>
        <w:t>前項預防接種之範圍，包括施打領有中央主管機關核發許可證或專案核准進口，並經檢驗或書面審查合格封緘之疫苗。</w:t>
      </w:r>
    </w:p>
    <w:p w:rsidR="00DC07C1" w:rsidRPr="005D46A4" w:rsidRDefault="00865FC3" w:rsidP="00986E85">
      <w:pPr>
        <w:spacing w:line="520" w:lineRule="exact"/>
        <w:ind w:left="1400" w:hangingChars="500" w:hanging="140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第二條之一　　</w:t>
      </w:r>
      <w:r w:rsidR="002E6777" w:rsidRPr="005D46A4">
        <w:rPr>
          <w:rFonts w:ascii="標楷體" w:eastAsia="標楷體" w:hAnsi="標楷體" w:hint="eastAsia"/>
          <w:color w:val="000000"/>
          <w:sz w:val="28"/>
          <w:szCs w:val="28"/>
        </w:rPr>
        <w:t>疫苗製造或輸入廠商應繳納一定金額，充作預防接種受害救濟基金，每一人劑疫苗，徵收新臺幣一點五元。但基金總額未達新臺幣一億五千萬元或逾新臺幣二億元時，中央主管機關得依基金收支運用情形調整之。</w:t>
      </w:r>
    </w:p>
    <w:p w:rsidR="00DC07C1" w:rsidRPr="005D46A4" w:rsidRDefault="00DC07C1" w:rsidP="00986E85">
      <w:pPr>
        <w:widowControl/>
        <w:spacing w:line="520" w:lineRule="exact"/>
        <w:ind w:leftChars="600" w:left="1440" w:firstLineChars="200" w:firstLine="560"/>
        <w:rPr>
          <w:rFonts w:ascii="標楷體" w:eastAsia="標楷體" w:hAnsi="標楷體" w:hint="eastAsia"/>
          <w:color w:val="000000"/>
          <w:sz w:val="28"/>
          <w:szCs w:val="28"/>
        </w:rPr>
      </w:pPr>
      <w:r w:rsidRPr="005D46A4">
        <w:rPr>
          <w:rFonts w:ascii="標楷體" w:eastAsia="標楷體" w:hAnsi="標楷體" w:hint="eastAsia"/>
          <w:color w:val="000000"/>
          <w:sz w:val="28"/>
          <w:szCs w:val="28"/>
        </w:rPr>
        <w:t>前項基金之徵收基準如下：</w:t>
      </w:r>
    </w:p>
    <w:p w:rsidR="00DC07C1" w:rsidRPr="005D46A4" w:rsidRDefault="00DC07C1"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一、依疫苗檢驗合格封緘之劑數，按劑計算。</w:t>
      </w:r>
    </w:p>
    <w:p w:rsidR="00DC07C1" w:rsidRPr="005D46A4" w:rsidRDefault="00DC07C1"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二、依本法第五十一條規定緊急專案採購之疫苗，以其製造或輸入之劑數按劑計算。</w:t>
      </w:r>
    </w:p>
    <w:p w:rsidR="00DC07C1" w:rsidRPr="005D46A4" w:rsidRDefault="002E6777" w:rsidP="00C83D93">
      <w:pPr>
        <w:widowControl/>
        <w:spacing w:line="520" w:lineRule="exact"/>
        <w:ind w:leftChars="600" w:left="1440" w:firstLineChars="200" w:firstLine="560"/>
        <w:rPr>
          <w:rFonts w:ascii="標楷體" w:eastAsia="標楷體" w:hAnsi="標楷體" w:hint="eastAsia"/>
          <w:color w:val="000000"/>
          <w:sz w:val="28"/>
          <w:szCs w:val="28"/>
        </w:rPr>
      </w:pPr>
      <w:r w:rsidRPr="005D46A4">
        <w:rPr>
          <w:rFonts w:ascii="標楷體" w:eastAsia="標楷體" w:hAnsi="標楷體" w:hint="eastAsia"/>
          <w:color w:val="000000"/>
          <w:sz w:val="28"/>
          <w:szCs w:val="28"/>
        </w:rPr>
        <w:t>疫苗製造或輸入廠商應於中央主管機關核發疫苗檢驗合格封緘證明、檢驗或書面審查報告書之次日起三十日內，繳納徵收金至預防接種受害救濟基金。</w:t>
      </w:r>
    </w:p>
    <w:p w:rsidR="00DC07C1" w:rsidRPr="005D46A4" w:rsidRDefault="00DC07C1" w:rsidP="00C83D93">
      <w:pPr>
        <w:widowControl/>
        <w:spacing w:line="520" w:lineRule="exact"/>
        <w:ind w:leftChars="600" w:left="1440" w:firstLineChars="200" w:firstLine="560"/>
        <w:rPr>
          <w:rFonts w:ascii="標楷體" w:eastAsia="標楷體" w:hAnsi="標楷體" w:hint="eastAsia"/>
          <w:color w:val="000000"/>
          <w:sz w:val="28"/>
          <w:szCs w:val="28"/>
        </w:rPr>
      </w:pPr>
      <w:r w:rsidRPr="005D46A4">
        <w:rPr>
          <w:rFonts w:ascii="標楷體" w:eastAsia="標楷體" w:hAnsi="標楷體" w:hint="eastAsia"/>
          <w:color w:val="000000"/>
          <w:sz w:val="28"/>
          <w:szCs w:val="28"/>
        </w:rPr>
        <w:t>疫苗製造或輸入廠商逾期繳納徵收金者，應自繳納期限屆滿之次日起，每逾二日按滯納金額加徵百分之一滯納金；逾三十日仍未繳納者，移送強制執行。</w:t>
      </w:r>
    </w:p>
    <w:p w:rsidR="00DC07C1" w:rsidRPr="005D46A4" w:rsidRDefault="00DC07C1" w:rsidP="00C83D93">
      <w:pPr>
        <w:widowControl/>
        <w:spacing w:line="520" w:lineRule="exact"/>
        <w:ind w:leftChars="600" w:left="1440" w:firstLineChars="200" w:firstLine="560"/>
        <w:rPr>
          <w:rFonts w:ascii="標楷體" w:eastAsia="標楷體" w:hAnsi="標楷體" w:hint="eastAsia"/>
          <w:color w:val="000000"/>
          <w:sz w:val="28"/>
          <w:szCs w:val="28"/>
        </w:rPr>
      </w:pPr>
      <w:r w:rsidRPr="005D46A4">
        <w:rPr>
          <w:rFonts w:ascii="標楷體" w:eastAsia="標楷體" w:hAnsi="標楷體" w:hint="eastAsia"/>
          <w:color w:val="000000"/>
          <w:sz w:val="28"/>
          <w:szCs w:val="28"/>
        </w:rPr>
        <w:t>第一項徵收金之免徵範圍如下：</w:t>
      </w:r>
    </w:p>
    <w:p w:rsidR="00DC07C1" w:rsidRPr="005D46A4" w:rsidRDefault="00DC07C1"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一、製造供輸出之疫苗。</w:t>
      </w:r>
    </w:p>
    <w:p w:rsidR="00DC07C1" w:rsidRPr="005D46A4" w:rsidRDefault="00DC07C1"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二、由主管機關專案採購以援助外國之疫苗。</w:t>
      </w:r>
    </w:p>
    <w:p w:rsidR="00DC07C1" w:rsidRPr="005D46A4" w:rsidRDefault="00DC07C1"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三、</w:t>
      </w:r>
      <w:r w:rsidR="002E6777" w:rsidRPr="005D46A4">
        <w:rPr>
          <w:rFonts w:ascii="標楷體" w:eastAsia="標楷體" w:hAnsi="細明體" w:cs="細明體" w:hint="eastAsia"/>
          <w:kern w:val="0"/>
          <w:sz w:val="28"/>
          <w:szCs w:val="28"/>
        </w:rPr>
        <w:t>其他專案申請中央主管機關核准免徵之疫苗。</w:t>
      </w:r>
    </w:p>
    <w:p w:rsidR="006C1CBB" w:rsidRPr="005D46A4" w:rsidRDefault="00865FC3" w:rsidP="00C83D93">
      <w:pPr>
        <w:spacing w:line="520" w:lineRule="exact"/>
        <w:ind w:left="1400" w:hangingChars="500" w:hanging="140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第二條之二　　</w:t>
      </w:r>
      <w:r w:rsidR="002E6777" w:rsidRPr="005D46A4">
        <w:rPr>
          <w:rFonts w:ascii="標楷體" w:eastAsia="標楷體" w:hAnsi="標楷體" w:hint="eastAsia"/>
          <w:color w:val="000000"/>
          <w:sz w:val="28"/>
          <w:szCs w:val="28"/>
        </w:rPr>
        <w:t>中央主管機關為辦理預防接種受害救濟業務，得委任或</w:t>
      </w:r>
      <w:r w:rsidR="002E6777" w:rsidRPr="005D46A4">
        <w:rPr>
          <w:rFonts w:ascii="標楷體" w:eastAsia="標楷體" w:hAnsi="標楷體" w:hint="eastAsia"/>
          <w:color w:val="000000"/>
          <w:sz w:val="28"/>
          <w:szCs w:val="28"/>
        </w:rPr>
        <w:lastRenderedPageBreak/>
        <w:t>委託其他機關(構)、團體辦理下列事項：</w:t>
      </w:r>
    </w:p>
    <w:p w:rsidR="006C1CBB" w:rsidRPr="005D46A4" w:rsidRDefault="006C1CBB"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一、預防接種受害救濟業務之審議準備及結果通知等工作。</w:t>
      </w:r>
    </w:p>
    <w:p w:rsidR="006C1CBB" w:rsidRPr="005D46A4" w:rsidRDefault="006C1CBB"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二、救濟金之給付。</w:t>
      </w:r>
    </w:p>
    <w:p w:rsidR="006C1CBB" w:rsidRPr="005D46A4" w:rsidRDefault="006C1CBB" w:rsidP="00986E85">
      <w:pPr>
        <w:widowControl/>
        <w:spacing w:line="520" w:lineRule="exact"/>
        <w:ind w:leftChars="800" w:left="2480" w:hangingChars="200" w:hanging="560"/>
        <w:rPr>
          <w:rFonts w:ascii="標楷體" w:eastAsia="標楷體" w:hAnsi="細明體" w:cs="細明體" w:hint="eastAsia"/>
          <w:kern w:val="0"/>
          <w:sz w:val="28"/>
          <w:szCs w:val="28"/>
        </w:rPr>
      </w:pPr>
      <w:r w:rsidRPr="005D46A4">
        <w:rPr>
          <w:rFonts w:ascii="標楷體" w:eastAsia="標楷體" w:hAnsi="細明體" w:cs="細明體" w:hint="eastAsia"/>
          <w:kern w:val="0"/>
          <w:sz w:val="28"/>
          <w:szCs w:val="28"/>
        </w:rPr>
        <w:t>三、其他與預防接種受害救濟業務有關事項。</w:t>
      </w:r>
    </w:p>
    <w:p w:rsidR="00F52F27" w:rsidRPr="005D46A4" w:rsidRDefault="00865FC3" w:rsidP="005D46A4">
      <w:pPr>
        <w:spacing w:line="520" w:lineRule="exact"/>
        <w:ind w:left="840" w:hangingChars="300" w:hanging="84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第四條</w:t>
      </w:r>
      <w:r w:rsidR="00214BB6" w:rsidRPr="005D46A4">
        <w:rPr>
          <w:rFonts w:ascii="標楷體" w:eastAsia="標楷體" w:hAnsi="標楷體" w:hint="eastAsia"/>
          <w:color w:val="000000"/>
          <w:sz w:val="28"/>
          <w:szCs w:val="28"/>
        </w:rPr>
        <w:t xml:space="preserve">　　</w:t>
      </w:r>
      <w:r w:rsidR="002E6777" w:rsidRPr="005D46A4">
        <w:rPr>
          <w:rFonts w:ascii="標楷體" w:eastAsia="標楷體" w:hAnsi="標楷體" w:hint="eastAsia"/>
          <w:color w:val="000000"/>
          <w:sz w:val="28"/>
          <w:szCs w:val="28"/>
        </w:rPr>
        <w:t>審議小組置委員十九人至二十五人；委員由中央主管機關就醫藥衛生、解剖病理、法學專家或社會公正人士聘兼之，並指定一人為召集人。</w:t>
      </w:r>
    </w:p>
    <w:p w:rsidR="009A562F" w:rsidRPr="005D46A4" w:rsidRDefault="00214BB6" w:rsidP="005D46A4">
      <w:pPr>
        <w:widowControl/>
        <w:spacing w:line="520" w:lineRule="exact"/>
        <w:ind w:leftChars="350" w:left="840"/>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　　</w:t>
      </w:r>
      <w:r w:rsidR="009A562F" w:rsidRPr="005D46A4">
        <w:rPr>
          <w:rFonts w:ascii="標楷體" w:eastAsia="標楷體" w:hAnsi="標楷體" w:hint="eastAsia"/>
          <w:color w:val="000000"/>
          <w:sz w:val="28"/>
          <w:szCs w:val="28"/>
        </w:rPr>
        <w:t>前項法學專家、社會公正人士人數，合計不得少於三分之一。</w:t>
      </w:r>
    </w:p>
    <w:p w:rsidR="001B109C" w:rsidRPr="005D46A4" w:rsidRDefault="00214BB6" w:rsidP="005D46A4">
      <w:pPr>
        <w:widowControl/>
        <w:spacing w:line="520" w:lineRule="exact"/>
        <w:ind w:leftChars="350" w:left="840"/>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　　</w:t>
      </w:r>
      <w:r w:rsidR="001B109C" w:rsidRPr="005D46A4">
        <w:rPr>
          <w:rFonts w:ascii="標楷體" w:eastAsia="標楷體" w:hAnsi="標楷體" w:hint="eastAsia"/>
          <w:color w:val="000000"/>
          <w:sz w:val="28"/>
          <w:szCs w:val="28"/>
        </w:rPr>
        <w:t>委員任期二年，期滿得續聘之；任期內出缺時，得就原代表之同質性人員補足聘任，其任期至原任期屆滿之日止。</w:t>
      </w:r>
    </w:p>
    <w:p w:rsidR="001B109C" w:rsidRPr="005D46A4" w:rsidRDefault="00214BB6" w:rsidP="005D46A4">
      <w:pPr>
        <w:widowControl/>
        <w:spacing w:line="520" w:lineRule="exact"/>
        <w:ind w:leftChars="350" w:left="840"/>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　　</w:t>
      </w:r>
      <w:r w:rsidR="001B109C" w:rsidRPr="005D46A4">
        <w:rPr>
          <w:rFonts w:ascii="標楷體" w:eastAsia="標楷體" w:hAnsi="標楷體" w:hint="eastAsia"/>
          <w:color w:val="000000"/>
          <w:sz w:val="28"/>
          <w:szCs w:val="28"/>
        </w:rPr>
        <w:t>審議小組之召集人，負責召集會議，並擔任主席。召集人因故不能出席時，由委員互推一人為主席。</w:t>
      </w:r>
    </w:p>
    <w:p w:rsidR="00233560" w:rsidRPr="005D46A4" w:rsidRDefault="00865FC3" w:rsidP="005D46A4">
      <w:pPr>
        <w:spacing w:line="520" w:lineRule="exact"/>
        <w:ind w:left="840" w:hangingChars="300" w:hanging="840"/>
        <w:jc w:val="both"/>
        <w:rPr>
          <w:rFonts w:ascii="標楷體" w:eastAsia="標楷體" w:hAnsi="標楷體"/>
          <w:color w:val="000000"/>
          <w:sz w:val="28"/>
          <w:szCs w:val="28"/>
        </w:rPr>
      </w:pPr>
      <w:r w:rsidRPr="005D46A4">
        <w:rPr>
          <w:rFonts w:ascii="標楷體" w:eastAsia="標楷體" w:hAnsi="標楷體"/>
          <w:color w:val="000000"/>
          <w:sz w:val="28"/>
          <w:szCs w:val="28"/>
        </w:rPr>
        <w:t>第七條</w:t>
      </w:r>
      <w:r w:rsidRPr="005D46A4">
        <w:rPr>
          <w:rFonts w:ascii="標楷體" w:eastAsia="標楷體" w:hAnsi="標楷體" w:hint="eastAsia"/>
          <w:color w:val="000000"/>
          <w:sz w:val="28"/>
          <w:szCs w:val="28"/>
        </w:rPr>
        <w:t xml:space="preserve">　　</w:t>
      </w:r>
      <w:r w:rsidR="002E6777" w:rsidRPr="005D46A4">
        <w:rPr>
          <w:rFonts w:ascii="標楷體" w:eastAsia="標楷體" w:hAnsi="標楷體" w:hint="eastAsia"/>
          <w:color w:val="000000"/>
          <w:sz w:val="28"/>
          <w:szCs w:val="28"/>
        </w:rPr>
        <w:t>預防接種受害救濟項目如下：</w:t>
      </w:r>
    </w:p>
    <w:p w:rsidR="002E6777" w:rsidRPr="00986E85" w:rsidRDefault="002E6777"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一、死亡給付。</w:t>
      </w:r>
    </w:p>
    <w:p w:rsidR="002E6777" w:rsidRPr="00986E85" w:rsidRDefault="002E6777"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二、障礙給付。</w:t>
      </w:r>
    </w:p>
    <w:p w:rsidR="002E6777" w:rsidRPr="00986E85" w:rsidRDefault="002E6777"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三、嚴重疾病給付。</w:t>
      </w:r>
    </w:p>
    <w:p w:rsidR="00043E4F" w:rsidRPr="00986E85" w:rsidRDefault="002E6777"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四、其他不良反應給付。</w:t>
      </w:r>
    </w:p>
    <w:p w:rsidR="00043E4F" w:rsidRPr="005D46A4" w:rsidRDefault="00865FC3" w:rsidP="005D46A4">
      <w:pPr>
        <w:widowControl/>
        <w:spacing w:line="520" w:lineRule="exact"/>
        <w:ind w:leftChars="350" w:left="840"/>
        <w:rPr>
          <w:rFonts w:ascii="標楷體" w:eastAsia="標楷體" w:hAnsi="標楷體"/>
          <w:color w:val="000000"/>
          <w:sz w:val="28"/>
          <w:szCs w:val="28"/>
        </w:rPr>
      </w:pPr>
      <w:r w:rsidRPr="005D46A4">
        <w:rPr>
          <w:rFonts w:ascii="標楷體" w:eastAsia="標楷體" w:hAnsi="標楷體" w:hint="eastAsia"/>
          <w:color w:val="000000"/>
          <w:sz w:val="28"/>
          <w:szCs w:val="28"/>
        </w:rPr>
        <w:t xml:space="preserve">　　</w:t>
      </w:r>
      <w:r w:rsidR="002E6777" w:rsidRPr="005D46A4">
        <w:rPr>
          <w:rFonts w:ascii="標楷體" w:eastAsia="標楷體" w:hAnsi="標楷體" w:hint="eastAsia"/>
          <w:color w:val="000000"/>
          <w:sz w:val="28"/>
          <w:szCs w:val="28"/>
        </w:rPr>
        <w:t>審議小組應依附表預防接種受害救濟給付金額範圍，審定前項給付金額。</w:t>
      </w:r>
    </w:p>
    <w:p w:rsidR="002E6777" w:rsidRPr="005D46A4" w:rsidRDefault="00865FC3" w:rsidP="005D46A4">
      <w:pPr>
        <w:widowControl/>
        <w:spacing w:line="520" w:lineRule="exact"/>
        <w:ind w:leftChars="350" w:left="840"/>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　　</w:t>
      </w:r>
      <w:r w:rsidR="002E6777" w:rsidRPr="005D46A4">
        <w:rPr>
          <w:rFonts w:ascii="標楷體" w:eastAsia="標楷體" w:hAnsi="標楷體" w:hint="eastAsia"/>
          <w:color w:val="000000"/>
          <w:sz w:val="28"/>
          <w:szCs w:val="28"/>
        </w:rPr>
        <w:t>第一項第二款障礙程度之認定，依身心障礙者權益保障法令所定障礙類別、等級，但不包括轉化症等因心理因素所致之情形。</w:t>
      </w:r>
    </w:p>
    <w:p w:rsidR="002E6777" w:rsidRPr="005D46A4" w:rsidRDefault="002E6777" w:rsidP="005D46A4">
      <w:pPr>
        <w:widowControl/>
        <w:spacing w:line="520" w:lineRule="exact"/>
        <w:ind w:leftChars="350" w:left="840"/>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　　第一項第三款嚴重疾病之認定，依全民健康保險重大傷病範圍及藥物不良反應通報規定所列嚴重不良反應公告之疾病。</w:t>
      </w:r>
    </w:p>
    <w:p w:rsidR="00043E4F" w:rsidRPr="005D46A4" w:rsidRDefault="002E6777" w:rsidP="00601DFF">
      <w:pPr>
        <w:widowControl/>
        <w:spacing w:line="520" w:lineRule="exact"/>
        <w:ind w:leftChars="350" w:left="840" w:firstLineChars="200" w:firstLine="560"/>
        <w:rPr>
          <w:rFonts w:ascii="標楷體" w:eastAsia="標楷體" w:hAnsi="標楷體" w:hint="eastAsia"/>
          <w:color w:val="000000"/>
          <w:sz w:val="28"/>
          <w:szCs w:val="28"/>
        </w:rPr>
      </w:pPr>
      <w:r w:rsidRPr="005D46A4">
        <w:rPr>
          <w:rFonts w:ascii="標楷體" w:eastAsia="標楷體" w:hAnsi="標楷體" w:hint="eastAsia"/>
          <w:color w:val="000000"/>
          <w:sz w:val="28"/>
          <w:szCs w:val="28"/>
        </w:rPr>
        <w:t>給付種類發生競合時，擇其較高金額給付之；已就較低金額給付者，補足其差額。</w:t>
      </w:r>
    </w:p>
    <w:p w:rsidR="002E6777" w:rsidRPr="005D46A4" w:rsidRDefault="002E6777" w:rsidP="00C83D93">
      <w:pPr>
        <w:spacing w:line="520" w:lineRule="exact"/>
        <w:ind w:left="1400" w:hangingChars="500" w:hanging="140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lastRenderedPageBreak/>
        <w:t>第七條之一　　預防接種受害救濟案件，有下列各款情事者，不予救濟：</w:t>
      </w:r>
    </w:p>
    <w:p w:rsidR="002E6777" w:rsidRPr="00986E85" w:rsidRDefault="002E6777"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一、逾本法第三十條第二項所定期間。</w:t>
      </w:r>
    </w:p>
    <w:p w:rsidR="002E6777" w:rsidRPr="00986E85" w:rsidRDefault="002E6777"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二、發生死亡、障礙、嚴重疾病或其他不良反應與預防接種確定無因果關係。</w:t>
      </w:r>
    </w:p>
    <w:p w:rsidR="002E6777" w:rsidRPr="00986E85" w:rsidRDefault="002E6777"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三、常見、輕微或可預期之預防接種不良反應。</w:t>
      </w:r>
    </w:p>
    <w:p w:rsidR="002E6777" w:rsidRPr="00986E85" w:rsidRDefault="002E6777"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四、轉化症等因心理因素所致之障礙。</w:t>
      </w:r>
    </w:p>
    <w:p w:rsidR="002E6777" w:rsidRPr="00986E85" w:rsidRDefault="00986E85" w:rsidP="00986E85">
      <w:pPr>
        <w:widowControl/>
        <w:spacing w:line="520" w:lineRule="exact"/>
        <w:ind w:leftChars="800" w:left="2480" w:hangingChars="200" w:hanging="560"/>
        <w:rPr>
          <w:rFonts w:ascii="標楷體" w:eastAsia="標楷體" w:hAnsi="細明體" w:cs="細明體" w:hint="eastAsia"/>
          <w:kern w:val="0"/>
          <w:sz w:val="28"/>
          <w:szCs w:val="28"/>
        </w:rPr>
      </w:pPr>
      <w:r>
        <w:rPr>
          <w:rFonts w:ascii="標楷體" w:eastAsia="標楷體" w:hAnsi="細明體" w:cs="細明體" w:hint="eastAsia"/>
          <w:kern w:val="0"/>
          <w:sz w:val="28"/>
          <w:szCs w:val="28"/>
        </w:rPr>
        <w:t>五</w:t>
      </w:r>
      <w:r w:rsidR="002E6777" w:rsidRPr="00986E85">
        <w:rPr>
          <w:rFonts w:ascii="標楷體" w:eastAsia="標楷體" w:hAnsi="細明體" w:cs="細明體" w:hint="eastAsia"/>
          <w:kern w:val="0"/>
          <w:sz w:val="28"/>
          <w:szCs w:val="28"/>
        </w:rPr>
        <w:t>、因證據不足致無法認定。</w:t>
      </w:r>
    </w:p>
    <w:p w:rsidR="002E6777" w:rsidRPr="00986E85" w:rsidRDefault="00986E85" w:rsidP="00986E85">
      <w:pPr>
        <w:widowControl/>
        <w:spacing w:line="520" w:lineRule="exact"/>
        <w:ind w:leftChars="800" w:left="2480" w:hangingChars="200" w:hanging="560"/>
        <w:rPr>
          <w:rFonts w:ascii="標楷體" w:eastAsia="標楷體" w:hAnsi="細明體" w:cs="細明體" w:hint="eastAsia"/>
          <w:kern w:val="0"/>
          <w:sz w:val="28"/>
          <w:szCs w:val="28"/>
        </w:rPr>
      </w:pPr>
      <w:r>
        <w:rPr>
          <w:rFonts w:ascii="標楷體" w:eastAsia="標楷體" w:hAnsi="細明體" w:cs="細明體" w:hint="eastAsia"/>
          <w:kern w:val="0"/>
          <w:sz w:val="28"/>
          <w:szCs w:val="28"/>
        </w:rPr>
        <w:t>六</w:t>
      </w:r>
      <w:r w:rsidR="002E6777" w:rsidRPr="00986E85">
        <w:rPr>
          <w:rFonts w:ascii="標楷體" w:eastAsia="標楷體" w:hAnsi="細明體" w:cs="細明體" w:hint="eastAsia"/>
          <w:kern w:val="0"/>
          <w:sz w:val="28"/>
          <w:szCs w:val="28"/>
        </w:rPr>
        <w:t>、非因預防接種目的使用疫苗致生損害。</w:t>
      </w:r>
    </w:p>
    <w:p w:rsidR="00454423" w:rsidRPr="005D46A4" w:rsidRDefault="00454423" w:rsidP="00C83D93">
      <w:pPr>
        <w:spacing w:line="520" w:lineRule="exact"/>
        <w:ind w:left="1400" w:hangingChars="500" w:hanging="140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第七條之二　　預防接種受害救濟案件，有下列各款情事者，得酌予補助：</w:t>
      </w:r>
    </w:p>
    <w:p w:rsidR="00454423" w:rsidRPr="00986E85" w:rsidRDefault="00454423"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一、疑因預防接種致嚴重不良反應症狀，經審議與預防接種無關者，得依其為釐清症狀與預防接種之關係，所施行之合理檢查及醫療費用，最高給予新臺幣二十萬元。</w:t>
      </w:r>
    </w:p>
    <w:p w:rsidR="00454423" w:rsidRPr="00986E85" w:rsidRDefault="00454423"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二、疑因預防接種受害致死，並經病理解剖者，給付喪葬補助費新臺幣三十萬元。</w:t>
      </w:r>
    </w:p>
    <w:p w:rsidR="00454423" w:rsidRPr="00986E85" w:rsidRDefault="00454423" w:rsidP="00986E85">
      <w:pPr>
        <w:widowControl/>
        <w:spacing w:line="520" w:lineRule="exact"/>
        <w:ind w:leftChars="800" w:left="248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三、疑因預防接種致死產或流產之孕婦，其胎兒或胚胎經解剖或檢驗，孕程滿二十週以上者，給付新臺幣十萬元；孕程未滿二十週者，給付新臺幣五萬元。</w:t>
      </w:r>
    </w:p>
    <w:p w:rsidR="00ED0E6C" w:rsidRPr="005D46A4" w:rsidRDefault="00865FC3" w:rsidP="005D46A4">
      <w:pPr>
        <w:spacing w:line="520" w:lineRule="exact"/>
        <w:ind w:left="840" w:hangingChars="300" w:hanging="840"/>
        <w:jc w:val="both"/>
        <w:rPr>
          <w:rFonts w:ascii="標楷體" w:eastAsia="標楷體" w:hAnsi="標楷體" w:hint="eastAsia"/>
          <w:color w:val="000000"/>
          <w:sz w:val="28"/>
          <w:szCs w:val="28"/>
        </w:rPr>
      </w:pPr>
      <w:r w:rsidRPr="005D46A4">
        <w:rPr>
          <w:rFonts w:ascii="標楷體" w:eastAsia="標楷體" w:hAnsi="標楷體" w:hint="eastAsia"/>
          <w:color w:val="000000"/>
          <w:sz w:val="28"/>
          <w:szCs w:val="28"/>
        </w:rPr>
        <w:t xml:space="preserve">第八條　　</w:t>
      </w:r>
      <w:r w:rsidR="00F6432A" w:rsidRPr="005D46A4">
        <w:rPr>
          <w:rFonts w:ascii="標楷體" w:eastAsia="標楷體" w:hAnsi="標楷體" w:hint="eastAsia"/>
          <w:color w:val="000000"/>
          <w:sz w:val="28"/>
          <w:szCs w:val="28"/>
        </w:rPr>
        <w:t>第七條預防接種受害救濟之請求權人如下：</w:t>
      </w:r>
    </w:p>
    <w:p w:rsidR="00ED0E6C" w:rsidRPr="00986E85" w:rsidRDefault="00F6432A"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一、第七條第一項第一款：受害人之法定繼承人。</w:t>
      </w:r>
    </w:p>
    <w:p w:rsidR="006021E2" w:rsidRPr="00986E85" w:rsidRDefault="00F6432A" w:rsidP="00C83D93">
      <w:pPr>
        <w:widowControl/>
        <w:spacing w:line="520" w:lineRule="exact"/>
        <w:ind w:leftChars="600" w:left="2000" w:hangingChars="200" w:hanging="560"/>
        <w:rPr>
          <w:rFonts w:ascii="標楷體" w:eastAsia="標楷體" w:hAnsi="細明體" w:cs="細明體" w:hint="eastAsia"/>
          <w:kern w:val="0"/>
          <w:sz w:val="28"/>
          <w:szCs w:val="28"/>
        </w:rPr>
      </w:pPr>
      <w:r w:rsidRPr="00986E85">
        <w:rPr>
          <w:rFonts w:ascii="標楷體" w:eastAsia="標楷體" w:hAnsi="細明體" w:cs="細明體" w:hint="eastAsia"/>
          <w:kern w:val="0"/>
          <w:sz w:val="28"/>
          <w:szCs w:val="28"/>
        </w:rPr>
        <w:t>二、第七條第一項第二款至第四款：受害人本人。</w:t>
      </w:r>
    </w:p>
    <w:p w:rsidR="00C83D93" w:rsidRDefault="00ED0E6C" w:rsidP="00601DFF">
      <w:pPr>
        <w:widowControl/>
        <w:spacing w:line="520" w:lineRule="exact"/>
        <w:ind w:leftChars="350" w:left="840" w:firstLineChars="200" w:firstLine="560"/>
        <w:rPr>
          <w:rFonts w:ascii="標楷體" w:eastAsia="標楷體" w:hAnsi="標楷體"/>
          <w:color w:val="000000"/>
          <w:sz w:val="28"/>
          <w:szCs w:val="28"/>
        </w:rPr>
      </w:pPr>
      <w:r w:rsidRPr="005D46A4">
        <w:rPr>
          <w:rFonts w:ascii="標楷體" w:eastAsia="標楷體" w:hAnsi="標楷體" w:hint="eastAsia"/>
          <w:color w:val="000000"/>
          <w:sz w:val="28"/>
          <w:szCs w:val="28"/>
        </w:rPr>
        <w:t>關於死亡給付，依民法相關規定辦理。</w:t>
      </w:r>
    </w:p>
    <w:p w:rsidR="006021E2" w:rsidRDefault="00C83D93" w:rsidP="00684E03">
      <w:pPr>
        <w:widowControl/>
        <w:spacing w:line="520" w:lineRule="exact"/>
        <w:rPr>
          <w:rFonts w:eastAsia="標楷體" w:hint="eastAsia"/>
          <w:sz w:val="40"/>
          <w:szCs w:val="40"/>
        </w:rPr>
      </w:pPr>
      <w:r>
        <w:rPr>
          <w:rFonts w:ascii="標楷體" w:eastAsia="標楷體" w:hAnsi="標楷體"/>
          <w:color w:val="000000"/>
          <w:sz w:val="28"/>
          <w:szCs w:val="28"/>
        </w:rPr>
        <w:br w:type="page"/>
      </w:r>
      <w:r w:rsidR="00684E03">
        <w:rPr>
          <w:rFonts w:ascii="標楷體" w:eastAsia="標楷體" w:hAnsi="標楷體" w:hint="eastAsia"/>
          <w:color w:val="000000"/>
          <w:sz w:val="28"/>
          <w:szCs w:val="28"/>
        </w:rPr>
        <w:lastRenderedPageBreak/>
        <w:t>第七條附表</w:t>
      </w:r>
    </w:p>
    <w:p w:rsidR="006021E2" w:rsidRPr="00F443A3" w:rsidRDefault="006021E2" w:rsidP="006021E2">
      <w:pPr>
        <w:pStyle w:val="aa"/>
        <w:jc w:val="center"/>
        <w:rPr>
          <w:rFonts w:eastAsia="標楷體" w:hint="eastAsia"/>
          <w:sz w:val="40"/>
          <w:szCs w:val="40"/>
        </w:rPr>
      </w:pPr>
      <w:r w:rsidRPr="008A7710">
        <w:rPr>
          <w:rFonts w:eastAsia="標楷體" w:hint="eastAsia"/>
          <w:sz w:val="40"/>
          <w:szCs w:val="40"/>
        </w:rPr>
        <w:t>預防接種受害救濟給付金額範圍</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985"/>
        <w:gridCol w:w="1417"/>
        <w:gridCol w:w="2835"/>
        <w:gridCol w:w="2189"/>
      </w:tblGrid>
      <w:tr w:rsidR="006021E2" w:rsidRPr="00684E03" w:rsidTr="00DE0FAD">
        <w:trPr>
          <w:jc w:val="center"/>
        </w:trPr>
        <w:tc>
          <w:tcPr>
            <w:tcW w:w="1560"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救濟項目</w:t>
            </w:r>
          </w:p>
        </w:tc>
        <w:tc>
          <w:tcPr>
            <w:tcW w:w="6237" w:type="dxa"/>
            <w:gridSpan w:val="3"/>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認定基準</w:t>
            </w:r>
          </w:p>
        </w:tc>
        <w:tc>
          <w:tcPr>
            <w:tcW w:w="2189"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給付金額範圍</w:t>
            </w:r>
            <w:r w:rsidRPr="00684E03">
              <w:rPr>
                <w:rFonts w:eastAsia="標楷體" w:hint="eastAsia"/>
                <w:sz w:val="28"/>
                <w:szCs w:val="28"/>
              </w:rPr>
              <w:t>（</w:t>
            </w:r>
            <w:r w:rsidR="00DE0FAD">
              <w:rPr>
                <w:rFonts w:eastAsia="標楷體" w:hint="eastAsia"/>
                <w:sz w:val="28"/>
                <w:szCs w:val="28"/>
              </w:rPr>
              <w:t>新臺幣</w:t>
            </w:r>
            <w:r w:rsidRPr="00684E03">
              <w:rPr>
                <w:rFonts w:eastAsia="標楷體" w:hint="eastAsia"/>
                <w:sz w:val="28"/>
                <w:szCs w:val="28"/>
              </w:rPr>
              <w:t>萬元）</w:t>
            </w:r>
          </w:p>
        </w:tc>
      </w:tr>
      <w:tr w:rsidR="006021E2"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3402" w:type="dxa"/>
            <w:gridSpan w:val="2"/>
            <w:shd w:val="clear" w:color="auto" w:fill="auto"/>
            <w:vAlign w:val="center"/>
          </w:tcPr>
          <w:p w:rsidR="006021E2" w:rsidRPr="00684E03" w:rsidRDefault="006021E2" w:rsidP="00D459AF">
            <w:pPr>
              <w:spacing w:beforeLines="20" w:afterLines="20" w:line="400" w:lineRule="exact"/>
              <w:rPr>
                <w:rFonts w:eastAsia="標楷體"/>
                <w:sz w:val="28"/>
                <w:szCs w:val="28"/>
              </w:rPr>
            </w:pPr>
            <w:r w:rsidRPr="00684E03">
              <w:rPr>
                <w:rFonts w:eastAsia="標楷體" w:hint="eastAsia"/>
                <w:sz w:val="28"/>
                <w:szCs w:val="28"/>
              </w:rPr>
              <w:t>定義</w:t>
            </w:r>
            <w:r w:rsidRPr="00684E03">
              <w:rPr>
                <w:rFonts w:eastAsia="標楷體" w:hint="eastAsia"/>
                <w:sz w:val="28"/>
                <w:szCs w:val="28"/>
              </w:rPr>
              <w:t>/</w:t>
            </w:r>
            <w:r w:rsidRPr="00684E03">
              <w:rPr>
                <w:rFonts w:eastAsia="標楷體"/>
                <w:sz w:val="28"/>
                <w:szCs w:val="28"/>
              </w:rPr>
              <w:t>障礙程度</w:t>
            </w:r>
          </w:p>
        </w:tc>
        <w:tc>
          <w:tcPr>
            <w:tcW w:w="2835" w:type="dxa"/>
            <w:shd w:val="clear" w:color="auto" w:fill="auto"/>
            <w:vAlign w:val="center"/>
          </w:tcPr>
          <w:p w:rsidR="006021E2" w:rsidRPr="00684E03" w:rsidRDefault="006021E2" w:rsidP="00D459AF">
            <w:pPr>
              <w:spacing w:beforeLines="20" w:afterLines="20" w:line="400" w:lineRule="exact"/>
              <w:rPr>
                <w:rFonts w:eastAsia="標楷體"/>
                <w:sz w:val="28"/>
                <w:szCs w:val="28"/>
              </w:rPr>
            </w:pPr>
            <w:r w:rsidRPr="00684E03">
              <w:rPr>
                <w:rFonts w:eastAsia="標楷體"/>
                <w:sz w:val="28"/>
                <w:szCs w:val="28"/>
              </w:rPr>
              <w:t>與</w:t>
            </w:r>
            <w:r w:rsidRPr="00684E03">
              <w:rPr>
                <w:rFonts w:eastAsia="標楷體" w:hint="eastAsia"/>
                <w:sz w:val="28"/>
                <w:szCs w:val="28"/>
              </w:rPr>
              <w:t>預防接種</w:t>
            </w:r>
            <w:r w:rsidRPr="00684E03">
              <w:rPr>
                <w:rFonts w:eastAsia="標楷體"/>
                <w:sz w:val="28"/>
                <w:szCs w:val="28"/>
              </w:rPr>
              <w:t>之關聯性</w:t>
            </w:r>
          </w:p>
        </w:tc>
        <w:tc>
          <w:tcPr>
            <w:tcW w:w="2189" w:type="dxa"/>
            <w:vMerge/>
            <w:shd w:val="clear" w:color="auto" w:fill="auto"/>
            <w:vAlign w:val="center"/>
          </w:tcPr>
          <w:p w:rsidR="006021E2" w:rsidRPr="00684E03" w:rsidRDefault="006021E2" w:rsidP="00684E03">
            <w:pPr>
              <w:spacing w:line="400" w:lineRule="exact"/>
              <w:rPr>
                <w:rFonts w:eastAsia="標楷體"/>
                <w:sz w:val="28"/>
                <w:szCs w:val="28"/>
              </w:rPr>
            </w:pPr>
          </w:p>
        </w:tc>
      </w:tr>
      <w:tr w:rsidR="006021E2" w:rsidRPr="00684E03" w:rsidTr="00DE0FAD">
        <w:trPr>
          <w:jc w:val="center"/>
        </w:trPr>
        <w:tc>
          <w:tcPr>
            <w:tcW w:w="1560"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死亡給付</w:t>
            </w:r>
          </w:p>
        </w:tc>
        <w:tc>
          <w:tcPr>
            <w:tcW w:w="3402" w:type="dxa"/>
            <w:gridSpan w:val="2"/>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50~</w:t>
            </w:r>
            <w:r w:rsidRPr="00684E03">
              <w:rPr>
                <w:rFonts w:eastAsia="標楷體"/>
                <w:sz w:val="28"/>
                <w:szCs w:val="28"/>
              </w:rPr>
              <w:t>600</w:t>
            </w:r>
          </w:p>
        </w:tc>
      </w:tr>
      <w:tr w:rsidR="006021E2"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3402" w:type="dxa"/>
            <w:gridSpan w:val="2"/>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30~</w:t>
            </w:r>
            <w:r w:rsidRPr="00684E03">
              <w:rPr>
                <w:rFonts w:eastAsia="標楷體"/>
                <w:sz w:val="28"/>
                <w:szCs w:val="28"/>
              </w:rPr>
              <w:t>350</w:t>
            </w:r>
          </w:p>
        </w:tc>
      </w:tr>
      <w:tr w:rsidR="00B03B5A" w:rsidRPr="00684E03" w:rsidTr="00DE0FAD">
        <w:trPr>
          <w:jc w:val="center"/>
        </w:trPr>
        <w:tc>
          <w:tcPr>
            <w:tcW w:w="1560"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障礙給付</w:t>
            </w:r>
          </w:p>
        </w:tc>
        <w:tc>
          <w:tcPr>
            <w:tcW w:w="1985"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依身心障礙者權益保障法令所定障礙類別、等級，但不包括轉化症等因心理因素所致之情形</w:t>
            </w:r>
          </w:p>
        </w:tc>
        <w:tc>
          <w:tcPr>
            <w:tcW w:w="1417" w:type="dxa"/>
            <w:vMerge w:val="restart"/>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4-</w:t>
            </w:r>
            <w:r w:rsidRPr="00684E03">
              <w:rPr>
                <w:rFonts w:eastAsia="標楷體"/>
                <w:sz w:val="28"/>
                <w:szCs w:val="28"/>
              </w:rPr>
              <w:t>極重度</w:t>
            </w:r>
            <w:r w:rsidRPr="00684E03">
              <w:rPr>
                <w:rFonts w:eastAsia="標楷體"/>
                <w:sz w:val="28"/>
                <w:szCs w:val="28"/>
              </w:rPr>
              <w:t xml:space="preserve"> </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50~6</w:t>
            </w:r>
            <w:r w:rsidRPr="00684E03">
              <w:rPr>
                <w:rFonts w:eastAsia="標楷體"/>
                <w:sz w:val="28"/>
                <w:szCs w:val="28"/>
              </w:rPr>
              <w:t>00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30~</w:t>
            </w:r>
            <w:r w:rsidRPr="00684E03">
              <w:rPr>
                <w:rFonts w:eastAsia="標楷體"/>
                <w:sz w:val="28"/>
                <w:szCs w:val="28"/>
              </w:rPr>
              <w:t>3</w:t>
            </w:r>
            <w:r w:rsidRPr="00684E03">
              <w:rPr>
                <w:rFonts w:eastAsia="標楷體" w:hint="eastAsia"/>
                <w:sz w:val="28"/>
                <w:szCs w:val="28"/>
              </w:rPr>
              <w:t>5</w:t>
            </w:r>
            <w:r w:rsidRPr="00684E03">
              <w:rPr>
                <w:rFonts w:eastAsia="標楷體"/>
                <w:sz w:val="28"/>
                <w:szCs w:val="28"/>
              </w:rPr>
              <w:t>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val="restart"/>
            <w:shd w:val="clear" w:color="auto" w:fill="auto"/>
            <w:vAlign w:val="center"/>
          </w:tcPr>
          <w:p w:rsidR="006021E2" w:rsidRPr="00684E03" w:rsidRDefault="006021E2" w:rsidP="00684E03">
            <w:pPr>
              <w:spacing w:line="400" w:lineRule="exact"/>
              <w:rPr>
                <w:rFonts w:eastAsia="標楷體"/>
                <w:sz w:val="28"/>
                <w:szCs w:val="28"/>
              </w:rPr>
            </w:pPr>
            <w:r w:rsidRPr="00684E03">
              <w:rPr>
                <w:rFonts w:eastAsia="標楷體"/>
                <w:sz w:val="28"/>
                <w:szCs w:val="28"/>
              </w:rPr>
              <w:t>3-</w:t>
            </w:r>
            <w:r w:rsidRPr="00684E03">
              <w:rPr>
                <w:rFonts w:eastAsia="標楷體"/>
                <w:sz w:val="28"/>
                <w:szCs w:val="28"/>
              </w:rPr>
              <w:t>重度</w:t>
            </w:r>
            <w:r w:rsidRPr="00684E03">
              <w:rPr>
                <w:rFonts w:eastAsia="標楷體"/>
                <w:sz w:val="28"/>
                <w:szCs w:val="28"/>
              </w:rPr>
              <w:t xml:space="preserve"> </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30~500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20~300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val="restart"/>
            <w:shd w:val="clear" w:color="auto" w:fill="auto"/>
            <w:vAlign w:val="center"/>
          </w:tcPr>
          <w:p w:rsidR="006021E2" w:rsidRPr="00684E03" w:rsidRDefault="006021E2" w:rsidP="00684E03">
            <w:pPr>
              <w:spacing w:line="400" w:lineRule="exact"/>
              <w:rPr>
                <w:rFonts w:eastAsia="標楷體"/>
                <w:sz w:val="28"/>
                <w:szCs w:val="28"/>
              </w:rPr>
            </w:pPr>
            <w:r w:rsidRPr="00684E03">
              <w:rPr>
                <w:rFonts w:eastAsia="標楷體"/>
                <w:sz w:val="28"/>
                <w:szCs w:val="28"/>
              </w:rPr>
              <w:t>2-</w:t>
            </w:r>
            <w:r w:rsidRPr="00684E03">
              <w:rPr>
                <w:rFonts w:eastAsia="標楷體"/>
                <w:sz w:val="28"/>
                <w:szCs w:val="28"/>
              </w:rPr>
              <w:t>中度</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20~400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10~250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val="restart"/>
            <w:shd w:val="clear" w:color="auto" w:fill="auto"/>
            <w:vAlign w:val="center"/>
          </w:tcPr>
          <w:p w:rsidR="006021E2" w:rsidRPr="00684E03" w:rsidRDefault="006021E2" w:rsidP="00684E03">
            <w:pPr>
              <w:spacing w:line="400" w:lineRule="exact"/>
              <w:rPr>
                <w:rFonts w:eastAsia="標楷體"/>
                <w:sz w:val="28"/>
                <w:szCs w:val="28"/>
              </w:rPr>
            </w:pPr>
            <w:r w:rsidRPr="00684E03">
              <w:rPr>
                <w:rFonts w:eastAsia="標楷體"/>
                <w:sz w:val="28"/>
                <w:szCs w:val="28"/>
              </w:rPr>
              <w:t>1-</w:t>
            </w:r>
            <w:r w:rsidRPr="00684E03">
              <w:rPr>
                <w:rFonts w:eastAsia="標楷體"/>
                <w:sz w:val="28"/>
                <w:szCs w:val="28"/>
              </w:rPr>
              <w:t>輕度</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10~250</w:t>
            </w:r>
          </w:p>
        </w:tc>
      </w:tr>
      <w:tr w:rsidR="00B03B5A"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985" w:type="dxa"/>
            <w:vMerge/>
            <w:shd w:val="clear" w:color="auto" w:fill="auto"/>
            <w:vAlign w:val="center"/>
          </w:tcPr>
          <w:p w:rsidR="006021E2" w:rsidRPr="00684E03" w:rsidRDefault="006021E2" w:rsidP="00684E03">
            <w:pPr>
              <w:spacing w:line="400" w:lineRule="exact"/>
              <w:rPr>
                <w:rFonts w:eastAsia="標楷體"/>
                <w:sz w:val="28"/>
                <w:szCs w:val="28"/>
              </w:rPr>
            </w:pPr>
          </w:p>
        </w:tc>
        <w:tc>
          <w:tcPr>
            <w:tcW w:w="1417" w:type="dxa"/>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5~200</w:t>
            </w:r>
          </w:p>
        </w:tc>
      </w:tr>
      <w:tr w:rsidR="006021E2" w:rsidRPr="00684E03" w:rsidTr="00DE0FAD">
        <w:trPr>
          <w:jc w:val="center"/>
        </w:trPr>
        <w:tc>
          <w:tcPr>
            <w:tcW w:w="1560" w:type="dxa"/>
            <w:vMerge w:val="restart"/>
            <w:shd w:val="clear" w:color="auto" w:fill="auto"/>
            <w:vAlign w:val="center"/>
          </w:tcPr>
          <w:p w:rsidR="006021E2" w:rsidRPr="00684E03" w:rsidRDefault="006021E2" w:rsidP="00684E03">
            <w:pPr>
              <w:spacing w:line="400" w:lineRule="exact"/>
              <w:jc w:val="center"/>
              <w:rPr>
                <w:rFonts w:eastAsia="標楷體" w:hint="eastAsia"/>
                <w:sz w:val="28"/>
                <w:szCs w:val="28"/>
              </w:rPr>
            </w:pPr>
            <w:r w:rsidRPr="00684E03">
              <w:rPr>
                <w:rFonts w:eastAsia="標楷體"/>
                <w:sz w:val="28"/>
                <w:szCs w:val="28"/>
              </w:rPr>
              <w:t>嚴重疾病</w:t>
            </w:r>
          </w:p>
          <w:p w:rsidR="006021E2" w:rsidRPr="00684E03" w:rsidRDefault="006021E2" w:rsidP="00684E03">
            <w:pPr>
              <w:spacing w:line="400" w:lineRule="exact"/>
              <w:jc w:val="center"/>
              <w:rPr>
                <w:rFonts w:eastAsia="標楷體"/>
                <w:sz w:val="28"/>
                <w:szCs w:val="28"/>
              </w:rPr>
            </w:pPr>
            <w:r w:rsidRPr="00684E03">
              <w:rPr>
                <w:rFonts w:eastAsia="標楷體"/>
                <w:sz w:val="28"/>
                <w:szCs w:val="28"/>
              </w:rPr>
              <w:t>給付</w:t>
            </w:r>
          </w:p>
        </w:tc>
        <w:tc>
          <w:tcPr>
            <w:tcW w:w="3402" w:type="dxa"/>
            <w:gridSpan w:val="2"/>
            <w:vMerge w:val="restart"/>
            <w:shd w:val="clear" w:color="auto" w:fill="auto"/>
            <w:vAlign w:val="center"/>
          </w:tcPr>
          <w:p w:rsidR="006021E2" w:rsidRPr="00684E03" w:rsidRDefault="006021E2" w:rsidP="00D459AF">
            <w:pPr>
              <w:spacing w:beforeLines="20" w:afterLines="20" w:line="400" w:lineRule="exact"/>
              <w:jc w:val="center"/>
              <w:rPr>
                <w:rFonts w:eastAsia="標楷體"/>
                <w:sz w:val="28"/>
                <w:szCs w:val="28"/>
              </w:rPr>
            </w:pPr>
            <w:r w:rsidRPr="00684E03">
              <w:rPr>
                <w:rFonts w:eastAsia="標楷體" w:hint="eastAsia"/>
                <w:sz w:val="28"/>
                <w:szCs w:val="28"/>
              </w:rPr>
              <w:t>依全民健康保險重大傷病範圍及嚴重藥物不良反應通報辦法認定，但未達障礙程度者</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2~3</w:t>
            </w:r>
            <w:r w:rsidRPr="00684E03">
              <w:rPr>
                <w:rFonts w:eastAsia="標楷體"/>
                <w:sz w:val="28"/>
                <w:szCs w:val="28"/>
              </w:rPr>
              <w:t>00</w:t>
            </w:r>
          </w:p>
        </w:tc>
      </w:tr>
      <w:tr w:rsidR="006021E2" w:rsidRPr="00684E03" w:rsidTr="00DE0FAD">
        <w:trPr>
          <w:jc w:val="center"/>
        </w:trPr>
        <w:tc>
          <w:tcPr>
            <w:tcW w:w="1560" w:type="dxa"/>
            <w:vMerge/>
            <w:shd w:val="clear" w:color="auto" w:fill="auto"/>
            <w:vAlign w:val="center"/>
          </w:tcPr>
          <w:p w:rsidR="006021E2" w:rsidRPr="00684E03" w:rsidRDefault="006021E2" w:rsidP="00684E03">
            <w:pPr>
              <w:spacing w:line="400" w:lineRule="exact"/>
              <w:rPr>
                <w:rFonts w:eastAsia="標楷體"/>
                <w:sz w:val="28"/>
                <w:szCs w:val="28"/>
              </w:rPr>
            </w:pPr>
          </w:p>
        </w:tc>
        <w:tc>
          <w:tcPr>
            <w:tcW w:w="3402" w:type="dxa"/>
            <w:gridSpan w:val="2"/>
            <w:vMerge/>
            <w:shd w:val="clear" w:color="auto" w:fill="auto"/>
            <w:vAlign w:val="center"/>
          </w:tcPr>
          <w:p w:rsidR="006021E2" w:rsidRPr="00684E03" w:rsidRDefault="006021E2" w:rsidP="00684E03">
            <w:pPr>
              <w:spacing w:line="400" w:lineRule="exact"/>
              <w:rPr>
                <w:rFonts w:eastAsia="標楷體"/>
                <w:sz w:val="28"/>
                <w:szCs w:val="28"/>
              </w:rPr>
            </w:pP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2~</w:t>
            </w:r>
            <w:r w:rsidRPr="00684E03">
              <w:rPr>
                <w:rFonts w:eastAsia="標楷體"/>
                <w:sz w:val="28"/>
                <w:szCs w:val="28"/>
              </w:rPr>
              <w:t>120</w:t>
            </w:r>
          </w:p>
        </w:tc>
      </w:tr>
      <w:tr w:rsidR="006021E2" w:rsidRPr="00684E03" w:rsidTr="00DE0FAD">
        <w:trPr>
          <w:trHeight w:val="1440"/>
          <w:jc w:val="center"/>
        </w:trPr>
        <w:tc>
          <w:tcPr>
            <w:tcW w:w="1560" w:type="dxa"/>
            <w:shd w:val="clear" w:color="auto" w:fill="auto"/>
            <w:vAlign w:val="center"/>
          </w:tcPr>
          <w:p w:rsidR="006021E2" w:rsidRPr="00684E03" w:rsidRDefault="006021E2" w:rsidP="00684E03">
            <w:pPr>
              <w:spacing w:line="400" w:lineRule="exact"/>
              <w:jc w:val="center"/>
              <w:rPr>
                <w:rFonts w:eastAsia="標楷體" w:hint="eastAsia"/>
                <w:sz w:val="28"/>
                <w:szCs w:val="28"/>
              </w:rPr>
            </w:pPr>
            <w:r w:rsidRPr="00684E03">
              <w:rPr>
                <w:rFonts w:eastAsia="標楷體" w:hint="eastAsia"/>
                <w:sz w:val="28"/>
                <w:szCs w:val="28"/>
              </w:rPr>
              <w:t>其他</w:t>
            </w:r>
            <w:r w:rsidRPr="00684E03">
              <w:rPr>
                <w:rFonts w:eastAsia="標楷體"/>
                <w:sz w:val="28"/>
                <w:szCs w:val="28"/>
              </w:rPr>
              <w:t>不良</w:t>
            </w:r>
          </w:p>
          <w:p w:rsidR="006021E2" w:rsidRPr="00684E03" w:rsidRDefault="006021E2" w:rsidP="00684E03">
            <w:pPr>
              <w:spacing w:line="400" w:lineRule="exact"/>
              <w:jc w:val="center"/>
              <w:rPr>
                <w:rFonts w:eastAsia="標楷體"/>
                <w:sz w:val="28"/>
                <w:szCs w:val="28"/>
              </w:rPr>
            </w:pPr>
            <w:r w:rsidRPr="00684E03">
              <w:rPr>
                <w:rFonts w:eastAsia="標楷體"/>
                <w:sz w:val="28"/>
                <w:szCs w:val="28"/>
              </w:rPr>
              <w:t>反應給付</w:t>
            </w:r>
          </w:p>
        </w:tc>
        <w:tc>
          <w:tcPr>
            <w:tcW w:w="3402" w:type="dxa"/>
            <w:gridSpan w:val="2"/>
            <w:shd w:val="clear" w:color="auto" w:fill="auto"/>
            <w:vAlign w:val="center"/>
          </w:tcPr>
          <w:p w:rsidR="006021E2" w:rsidRPr="00684E03" w:rsidRDefault="006021E2" w:rsidP="00D459AF">
            <w:pPr>
              <w:spacing w:beforeLines="20" w:afterLines="20" w:line="400" w:lineRule="exact"/>
              <w:jc w:val="center"/>
              <w:rPr>
                <w:rFonts w:eastAsia="標楷體"/>
                <w:sz w:val="28"/>
                <w:szCs w:val="28"/>
              </w:rPr>
            </w:pPr>
            <w:r w:rsidRPr="00684E03">
              <w:rPr>
                <w:rFonts w:eastAsia="標楷體"/>
                <w:sz w:val="28"/>
                <w:szCs w:val="28"/>
              </w:rPr>
              <w:t>其他</w:t>
            </w:r>
            <w:r w:rsidRPr="00684E03">
              <w:rPr>
                <w:rFonts w:eastAsia="標楷體" w:hint="eastAsia"/>
                <w:sz w:val="28"/>
                <w:szCs w:val="28"/>
              </w:rPr>
              <w:t>未達嚴重疾病程度之不良反應情形，但輕微、常見或可預期之接種後不良反應不予救濟</w:t>
            </w:r>
          </w:p>
        </w:tc>
        <w:tc>
          <w:tcPr>
            <w:tcW w:w="2835"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sz w:val="28"/>
                <w:szCs w:val="28"/>
              </w:rPr>
              <w:t>相關</w:t>
            </w:r>
            <w:r w:rsidRPr="00684E03">
              <w:rPr>
                <w:rFonts w:eastAsia="標楷體" w:hint="eastAsia"/>
                <w:sz w:val="28"/>
                <w:szCs w:val="28"/>
              </w:rPr>
              <w:t>/</w:t>
            </w:r>
            <w:r w:rsidRPr="00684E03">
              <w:rPr>
                <w:rFonts w:eastAsia="標楷體"/>
                <w:sz w:val="28"/>
                <w:szCs w:val="28"/>
              </w:rPr>
              <w:t>無法排除</w:t>
            </w:r>
          </w:p>
        </w:tc>
        <w:tc>
          <w:tcPr>
            <w:tcW w:w="2189" w:type="dxa"/>
            <w:shd w:val="clear" w:color="auto" w:fill="auto"/>
            <w:vAlign w:val="center"/>
          </w:tcPr>
          <w:p w:rsidR="006021E2" w:rsidRPr="00684E03" w:rsidRDefault="006021E2" w:rsidP="00684E03">
            <w:pPr>
              <w:spacing w:line="400" w:lineRule="exact"/>
              <w:jc w:val="center"/>
              <w:rPr>
                <w:rFonts w:eastAsia="標楷體"/>
                <w:sz w:val="28"/>
                <w:szCs w:val="28"/>
              </w:rPr>
            </w:pPr>
            <w:r w:rsidRPr="00684E03">
              <w:rPr>
                <w:rFonts w:eastAsia="標楷體" w:hint="eastAsia"/>
                <w:sz w:val="28"/>
                <w:szCs w:val="28"/>
              </w:rPr>
              <w:t>0~</w:t>
            </w:r>
            <w:r w:rsidRPr="00684E03">
              <w:rPr>
                <w:rFonts w:eastAsia="標楷體"/>
                <w:sz w:val="28"/>
                <w:szCs w:val="28"/>
              </w:rPr>
              <w:t>20</w:t>
            </w:r>
          </w:p>
        </w:tc>
      </w:tr>
    </w:tbl>
    <w:p w:rsidR="001456D3" w:rsidRPr="001456D3" w:rsidRDefault="001456D3" w:rsidP="002E6777">
      <w:pPr>
        <w:spacing w:line="520" w:lineRule="exact"/>
        <w:ind w:left="1258" w:hangingChars="393" w:hanging="1258"/>
        <w:jc w:val="both"/>
        <w:rPr>
          <w:rFonts w:ascii="標楷體" w:eastAsia="標楷體" w:hAnsi="標楷體" w:hint="eastAsia"/>
          <w:bCs/>
          <w:color w:val="000000"/>
          <w:sz w:val="32"/>
          <w:szCs w:val="28"/>
        </w:rPr>
      </w:pPr>
    </w:p>
    <w:sectPr w:rsidR="001456D3" w:rsidRPr="001456D3" w:rsidSect="00C2002E">
      <w:footerReference w:type="even" r:id="rId7"/>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CB" w:rsidRDefault="00E872CB">
      <w:r>
        <w:separator/>
      </w:r>
    </w:p>
  </w:endnote>
  <w:endnote w:type="continuationSeparator" w:id="1">
    <w:p w:rsidR="00E872CB" w:rsidRDefault="00E87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華康楷書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AD" w:rsidRDefault="00DE0FAD">
    <w:pPr>
      <w:pStyle w:val="a5"/>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DE0FAD" w:rsidRDefault="00DE0FA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AD" w:rsidRDefault="00DE0FA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450B">
      <w:rPr>
        <w:rStyle w:val="a6"/>
        <w:noProof/>
      </w:rPr>
      <w:t>1</w:t>
    </w:r>
    <w:r>
      <w:rPr>
        <w:rStyle w:val="a6"/>
      </w:rPr>
      <w:fldChar w:fldCharType="end"/>
    </w:r>
  </w:p>
  <w:p w:rsidR="00DE0FAD" w:rsidRDefault="00DE0FAD">
    <w:pPr>
      <w:pStyle w:val="a5"/>
      <w:framePr w:wrap="around" w:vAnchor="text" w:hAnchor="margin" w:xAlign="center" w:y="1"/>
      <w:textDirection w:val="btLr"/>
      <w:rPr>
        <w:rStyle w:val="a6"/>
      </w:rPr>
    </w:pPr>
  </w:p>
  <w:p w:rsidR="00DE0FAD" w:rsidRDefault="00DE0FA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CB" w:rsidRDefault="00E872CB">
      <w:r>
        <w:separator/>
      </w:r>
    </w:p>
  </w:footnote>
  <w:footnote w:type="continuationSeparator" w:id="1">
    <w:p w:rsidR="00E872CB" w:rsidRDefault="00E87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5B"/>
    <w:multiLevelType w:val="hybridMultilevel"/>
    <w:tmpl w:val="EE0CD8C4"/>
    <w:lvl w:ilvl="0" w:tplc="E38E3D3E">
      <w:start w:val="1"/>
      <w:numFmt w:val="taiwaneseCountingThousand"/>
      <w:lvlText w:val="(%1)"/>
      <w:lvlJc w:val="left"/>
      <w:pPr>
        <w:tabs>
          <w:tab w:val="num" w:pos="1022"/>
        </w:tabs>
        <w:ind w:left="1022" w:hanging="420"/>
      </w:pPr>
      <w:rPr>
        <w:rFonts w:hint="default"/>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
    <w:nsid w:val="076437EF"/>
    <w:multiLevelType w:val="hybridMultilevel"/>
    <w:tmpl w:val="FEB4F848"/>
    <w:lvl w:ilvl="0" w:tplc="1158A5D2">
      <w:start w:val="1"/>
      <w:numFmt w:val="taiwaneseCountingThousand"/>
      <w:lvlText w:val="第%1條"/>
      <w:lvlJc w:val="left"/>
      <w:pPr>
        <w:tabs>
          <w:tab w:val="num" w:pos="1590"/>
        </w:tabs>
        <w:ind w:left="1590" w:hanging="159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0B77FA3"/>
    <w:multiLevelType w:val="hybridMultilevel"/>
    <w:tmpl w:val="DE3E753E"/>
    <w:lvl w:ilvl="0" w:tplc="CD5E06DE">
      <w:start w:val="9"/>
      <w:numFmt w:val="taiwaneseCountingThousand"/>
      <w:lvlText w:val="第%1條"/>
      <w:lvlJc w:val="left"/>
      <w:pPr>
        <w:tabs>
          <w:tab w:val="num" w:pos="1125"/>
        </w:tabs>
        <w:ind w:left="1125" w:hanging="1125"/>
      </w:pPr>
      <w:rPr>
        <w:rFonts w:hint="eastAsia"/>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92635B"/>
    <w:multiLevelType w:val="hybridMultilevel"/>
    <w:tmpl w:val="812C1388"/>
    <w:lvl w:ilvl="0" w:tplc="3FE4974A">
      <w:start w:val="1"/>
      <w:numFmt w:val="taiwaneseCountingThousand"/>
      <w:lvlText w:val="%1、"/>
      <w:lvlJc w:val="left"/>
      <w:pPr>
        <w:tabs>
          <w:tab w:val="num" w:pos="720"/>
        </w:tabs>
        <w:ind w:left="720" w:hanging="72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0A1696F"/>
    <w:multiLevelType w:val="hybridMultilevel"/>
    <w:tmpl w:val="EC6A3BB4"/>
    <w:lvl w:ilvl="0" w:tplc="51E0602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7912272"/>
    <w:multiLevelType w:val="hybridMultilevel"/>
    <w:tmpl w:val="EA4272F8"/>
    <w:lvl w:ilvl="0" w:tplc="ED183168">
      <w:start w:val="7"/>
      <w:numFmt w:val="taiwaneseCountingThousand"/>
      <w:lvlText w:val="第%1條"/>
      <w:lvlJc w:val="left"/>
      <w:pPr>
        <w:tabs>
          <w:tab w:val="num" w:pos="945"/>
        </w:tabs>
        <w:ind w:left="945" w:hanging="765"/>
      </w:pPr>
      <w:rPr>
        <w:rFonts w:hint="eastAsia"/>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6">
    <w:nsid w:val="75807F75"/>
    <w:multiLevelType w:val="hybridMultilevel"/>
    <w:tmpl w:val="BF42D10E"/>
    <w:lvl w:ilvl="0" w:tplc="E52EB956">
      <w:start w:val="9"/>
      <w:numFmt w:val="taiwaneseCountingThousand"/>
      <w:lvlText w:val="第%1條"/>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7A3672E"/>
    <w:multiLevelType w:val="hybridMultilevel"/>
    <w:tmpl w:val="D66A557E"/>
    <w:lvl w:ilvl="0" w:tplc="5A2CDF2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390"/>
    <w:rsid w:val="00043E4F"/>
    <w:rsid w:val="000708A8"/>
    <w:rsid w:val="000A39B9"/>
    <w:rsid w:val="000E33D0"/>
    <w:rsid w:val="00100F24"/>
    <w:rsid w:val="00114C64"/>
    <w:rsid w:val="00125D2A"/>
    <w:rsid w:val="00132166"/>
    <w:rsid w:val="001456D3"/>
    <w:rsid w:val="00197ADB"/>
    <w:rsid w:val="001B0607"/>
    <w:rsid w:val="001B109C"/>
    <w:rsid w:val="001B7A47"/>
    <w:rsid w:val="00214BB6"/>
    <w:rsid w:val="00233560"/>
    <w:rsid w:val="00244FCD"/>
    <w:rsid w:val="002E6777"/>
    <w:rsid w:val="0033151A"/>
    <w:rsid w:val="00356058"/>
    <w:rsid w:val="00410E17"/>
    <w:rsid w:val="00454423"/>
    <w:rsid w:val="005D46A4"/>
    <w:rsid w:val="005F2BA0"/>
    <w:rsid w:val="00601DFF"/>
    <w:rsid w:val="006021E2"/>
    <w:rsid w:val="00640DDC"/>
    <w:rsid w:val="006579AD"/>
    <w:rsid w:val="00684E03"/>
    <w:rsid w:val="00691DBF"/>
    <w:rsid w:val="006A3423"/>
    <w:rsid w:val="006A6A24"/>
    <w:rsid w:val="006C09AD"/>
    <w:rsid w:val="006C1CBB"/>
    <w:rsid w:val="00712D5D"/>
    <w:rsid w:val="007336EB"/>
    <w:rsid w:val="00756CB9"/>
    <w:rsid w:val="00760BDE"/>
    <w:rsid w:val="007A06C5"/>
    <w:rsid w:val="007C784B"/>
    <w:rsid w:val="00842EF5"/>
    <w:rsid w:val="00865FC3"/>
    <w:rsid w:val="00866670"/>
    <w:rsid w:val="008B4D5A"/>
    <w:rsid w:val="008E3FB5"/>
    <w:rsid w:val="00953A0E"/>
    <w:rsid w:val="00986E85"/>
    <w:rsid w:val="009A562F"/>
    <w:rsid w:val="009F2CBF"/>
    <w:rsid w:val="00A14267"/>
    <w:rsid w:val="00A41368"/>
    <w:rsid w:val="00A81390"/>
    <w:rsid w:val="00A81D8C"/>
    <w:rsid w:val="00A842ED"/>
    <w:rsid w:val="00A94081"/>
    <w:rsid w:val="00AA7450"/>
    <w:rsid w:val="00AB7BBC"/>
    <w:rsid w:val="00B03B5A"/>
    <w:rsid w:val="00B53A56"/>
    <w:rsid w:val="00B643E9"/>
    <w:rsid w:val="00B93507"/>
    <w:rsid w:val="00BC02D5"/>
    <w:rsid w:val="00BC1793"/>
    <w:rsid w:val="00C2002E"/>
    <w:rsid w:val="00C620FE"/>
    <w:rsid w:val="00C657EC"/>
    <w:rsid w:val="00C83D93"/>
    <w:rsid w:val="00CA2014"/>
    <w:rsid w:val="00CE6C48"/>
    <w:rsid w:val="00CF63FA"/>
    <w:rsid w:val="00D16988"/>
    <w:rsid w:val="00D37EE1"/>
    <w:rsid w:val="00D459AF"/>
    <w:rsid w:val="00D675FA"/>
    <w:rsid w:val="00D747B7"/>
    <w:rsid w:val="00DB42C3"/>
    <w:rsid w:val="00DC07C1"/>
    <w:rsid w:val="00DD1903"/>
    <w:rsid w:val="00DE0FAD"/>
    <w:rsid w:val="00DE4E4E"/>
    <w:rsid w:val="00E5529A"/>
    <w:rsid w:val="00E732D6"/>
    <w:rsid w:val="00E749F6"/>
    <w:rsid w:val="00E77902"/>
    <w:rsid w:val="00E872CB"/>
    <w:rsid w:val="00ED0E6C"/>
    <w:rsid w:val="00F205DE"/>
    <w:rsid w:val="00F52F27"/>
    <w:rsid w:val="00F6432A"/>
    <w:rsid w:val="00F9450B"/>
    <w:rsid w:val="00FC2135"/>
    <w:rsid w:val="00FF38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Body Text Indent"/>
    <w:basedOn w:val="a"/>
    <w:pPr>
      <w:ind w:leftChars="100" w:left="240" w:firstLineChars="100" w:firstLine="200"/>
    </w:pPr>
    <w:rPr>
      <w:rFonts w:eastAsia="標楷體"/>
      <w:sz w:val="20"/>
      <w:u w:val="single"/>
    </w:rPr>
  </w:style>
  <w:style w:type="paragraph" w:styleId="2">
    <w:name w:val="Body Text Indent 2"/>
    <w:basedOn w:val="a"/>
    <w:pPr>
      <w:ind w:leftChars="100" w:left="240" w:firstLineChars="100" w:firstLine="200"/>
    </w:pPr>
    <w:rPr>
      <w:rFonts w:eastAsia="標楷體"/>
      <w:sz w:val="20"/>
    </w:rPr>
  </w:style>
  <w:style w:type="paragraph" w:styleId="3">
    <w:name w:val="Body Text Indent 3"/>
    <w:basedOn w:val="a"/>
    <w:pPr>
      <w:ind w:leftChars="334" w:left="802" w:firstLineChars="217" w:firstLine="608"/>
    </w:pPr>
    <w:rPr>
      <w:rFonts w:ascii="標楷體" w:eastAsia="標楷體" w:hAnsi="標楷體"/>
      <w:sz w:val="28"/>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Normal Indent"/>
    <w:basedOn w:val="a"/>
    <w:pPr>
      <w:ind w:left="480"/>
    </w:pPr>
    <w:rPr>
      <w:rFonts w:eastAsia="標楷體"/>
      <w:sz w:val="32"/>
      <w:szCs w:val="20"/>
    </w:rPr>
  </w:style>
  <w:style w:type="character" w:styleId="a8">
    <w:name w:val="FollowedHyperlink"/>
    <w:rPr>
      <w:color w:val="800080"/>
      <w:u w:val="single"/>
    </w:rPr>
  </w:style>
  <w:style w:type="paragraph" w:styleId="a9">
    <w:name w:val="header"/>
    <w:basedOn w:val="a"/>
    <w:pPr>
      <w:tabs>
        <w:tab w:val="center" w:pos="4153"/>
        <w:tab w:val="right" w:pos="8306"/>
      </w:tabs>
      <w:snapToGrid w:val="0"/>
    </w:pPr>
    <w:rPr>
      <w:sz w:val="20"/>
      <w:szCs w:val="20"/>
    </w:rPr>
  </w:style>
  <w:style w:type="character" w:customStyle="1" w:styleId="f121">
    <w:name w:val="f121"/>
    <w:rPr>
      <w:rFonts w:ascii="細明體" w:eastAsia="細明體" w:hAnsi="細明體" w:hint="eastAsia"/>
      <w:spacing w:val="65776"/>
      <w:sz w:val="24"/>
      <w:szCs w:val="24"/>
    </w:rPr>
  </w:style>
  <w:style w:type="paragraph" w:styleId="aa">
    <w:name w:val="annotation text"/>
    <w:basedOn w:val="a"/>
    <w:link w:val="ab"/>
    <w:rsid w:val="006021E2"/>
  </w:style>
  <w:style w:type="character" w:customStyle="1" w:styleId="ab">
    <w:name w:val="註解文字 字元"/>
    <w:link w:val="aa"/>
    <w:rsid w:val="006021E2"/>
    <w:rPr>
      <w:kern w:val="2"/>
      <w:sz w:val="24"/>
      <w:szCs w:val="24"/>
    </w:rPr>
  </w:style>
</w:styles>
</file>

<file path=word/webSettings.xml><?xml version="1.0" encoding="utf-8"?>
<w:webSettings xmlns:r="http://schemas.openxmlformats.org/officeDocument/2006/relationships" xmlns:w="http://schemas.openxmlformats.org/wordprocessingml/2006/main">
  <w:divs>
    <w:div w:id="1491872728">
      <w:bodyDiv w:val="1"/>
      <w:marLeft w:val="0"/>
      <w:marRight w:val="0"/>
      <w:marTop w:val="0"/>
      <w:marBottom w:val="0"/>
      <w:divBdr>
        <w:top w:val="none" w:sz="0" w:space="0" w:color="auto"/>
        <w:left w:val="none" w:sz="0" w:space="0" w:color="auto"/>
        <w:bottom w:val="none" w:sz="0" w:space="0" w:color="auto"/>
        <w:right w:val="none" w:sz="0" w:space="0" w:color="auto"/>
      </w:divBdr>
      <w:divsChild>
        <w:div w:id="585726687">
          <w:marLeft w:val="0"/>
          <w:marRight w:val="0"/>
          <w:marTop w:val="0"/>
          <w:marBottom w:val="0"/>
          <w:divBdr>
            <w:top w:val="none" w:sz="0" w:space="0" w:color="auto"/>
            <w:left w:val="none" w:sz="0" w:space="0" w:color="auto"/>
            <w:bottom w:val="none" w:sz="0" w:space="0" w:color="auto"/>
            <w:right w:val="none" w:sz="0" w:space="0" w:color="auto"/>
          </w:divBdr>
          <w:divsChild>
            <w:div w:id="1873150473">
              <w:marLeft w:val="0"/>
              <w:marRight w:val="0"/>
              <w:marTop w:val="0"/>
              <w:marBottom w:val="0"/>
              <w:divBdr>
                <w:top w:val="none" w:sz="0" w:space="0" w:color="auto"/>
                <w:left w:val="none" w:sz="0" w:space="0" w:color="auto"/>
                <w:bottom w:val="none" w:sz="0" w:space="0" w:color="auto"/>
                <w:right w:val="none" w:sz="0" w:space="0" w:color="auto"/>
              </w:divBdr>
              <w:divsChild>
                <w:div w:id="385840876">
                  <w:marLeft w:val="0"/>
                  <w:marRight w:val="0"/>
                  <w:marTop w:val="0"/>
                  <w:marBottom w:val="0"/>
                  <w:divBdr>
                    <w:top w:val="none" w:sz="0" w:space="0" w:color="auto"/>
                    <w:left w:val="none" w:sz="0" w:space="0" w:color="auto"/>
                    <w:bottom w:val="none" w:sz="0" w:space="0" w:color="auto"/>
                    <w:right w:val="none" w:sz="0" w:space="0" w:color="auto"/>
                  </w:divBdr>
                  <w:divsChild>
                    <w:div w:id="16588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1639</Characters>
  <Application>Microsoft Office Word</Application>
  <DocSecurity>0</DocSecurity>
  <Lines>13</Lines>
  <Paragraphs>3</Paragraphs>
  <ScaleCrop>false</ScaleCrop>
  <Company>疾病管制局</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  正  條  文</dc:title>
  <dc:subject/>
  <dc:creator>Adminisrator</dc:creator>
  <cp:keywords/>
  <cp:lastModifiedBy>Ndhu</cp:lastModifiedBy>
  <cp:revision>2</cp:revision>
  <cp:lastPrinted>2014-01-08T04:25:00Z</cp:lastPrinted>
  <dcterms:created xsi:type="dcterms:W3CDTF">2014-01-21T03:01:00Z</dcterms:created>
  <dcterms:modified xsi:type="dcterms:W3CDTF">2014-01-21T03:01:00Z</dcterms:modified>
</cp:coreProperties>
</file>