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B9" w:rsidRPr="00BD43B9" w:rsidRDefault="00A234CC" w:rsidP="00C84548">
      <w:pPr>
        <w:adjustRightInd w:val="0"/>
        <w:snapToGrid w:val="0"/>
        <w:jc w:val="both"/>
        <w:rPr>
          <w:rFonts w:eastAsia="標楷體"/>
          <w:szCs w:val="36"/>
        </w:rPr>
      </w:pPr>
      <w:r w:rsidRPr="007759E3">
        <w:rPr>
          <w:rFonts w:eastAsia="標楷體" w:hint="eastAsia"/>
          <w:sz w:val="40"/>
          <w:szCs w:val="40"/>
        </w:rPr>
        <w:t>預防接種受害救濟基金徵收及審議辦法</w:t>
      </w:r>
      <w:r w:rsidR="00C84548">
        <w:rPr>
          <w:rFonts w:eastAsia="標楷體"/>
          <w:sz w:val="40"/>
          <w:szCs w:val="40"/>
        </w:rPr>
        <w:t>部分條文修正</w:t>
      </w:r>
      <w:r w:rsidR="00BD43B9" w:rsidRPr="00BD43B9">
        <w:rPr>
          <w:rFonts w:eastAsia="標楷體"/>
          <w:sz w:val="40"/>
          <w:szCs w:val="40"/>
        </w:rPr>
        <w:t>總說明</w:t>
      </w:r>
    </w:p>
    <w:p w:rsidR="00BD43B9" w:rsidRPr="007759E3" w:rsidRDefault="001A0722" w:rsidP="007759E3">
      <w:pPr>
        <w:adjustRightInd w:val="0"/>
        <w:snapToGrid w:val="0"/>
        <w:spacing w:line="460" w:lineRule="exact"/>
        <w:ind w:firstLineChars="192" w:firstLine="538"/>
        <w:jc w:val="both"/>
        <w:rPr>
          <w:rFonts w:eastAsia="標楷體"/>
          <w:sz w:val="28"/>
          <w:szCs w:val="28"/>
        </w:rPr>
      </w:pPr>
      <w:r>
        <w:rPr>
          <w:rFonts w:eastAsia="標楷體" w:hint="eastAsia"/>
          <w:sz w:val="28"/>
          <w:szCs w:val="28"/>
        </w:rPr>
        <w:t>「</w:t>
      </w:r>
      <w:r w:rsidR="00A234CC">
        <w:rPr>
          <w:rFonts w:eastAsia="標楷體" w:hint="eastAsia"/>
          <w:sz w:val="28"/>
          <w:szCs w:val="28"/>
        </w:rPr>
        <w:t>預防接種受害救濟基金徵收及審議辦</w:t>
      </w:r>
      <w:r w:rsidR="00BD43B9" w:rsidRPr="007759E3">
        <w:rPr>
          <w:rFonts w:eastAsia="標楷體"/>
          <w:sz w:val="28"/>
          <w:szCs w:val="28"/>
        </w:rPr>
        <w:t>法</w:t>
      </w:r>
      <w:r>
        <w:rPr>
          <w:rFonts w:eastAsia="標楷體" w:hint="eastAsia"/>
          <w:sz w:val="28"/>
          <w:szCs w:val="28"/>
        </w:rPr>
        <w:t>」</w:t>
      </w:r>
      <w:r w:rsidR="00A234CC">
        <w:rPr>
          <w:rFonts w:eastAsia="標楷體" w:hint="eastAsia"/>
          <w:sz w:val="28"/>
          <w:szCs w:val="28"/>
        </w:rPr>
        <w:t>係依傳染病防治法（</w:t>
      </w:r>
      <w:r w:rsidR="00A234CC" w:rsidRPr="007759E3">
        <w:rPr>
          <w:rFonts w:eastAsia="標楷體"/>
          <w:sz w:val="28"/>
          <w:szCs w:val="28"/>
        </w:rPr>
        <w:t>以下簡稱本法</w:t>
      </w:r>
      <w:r w:rsidR="00A234CC">
        <w:rPr>
          <w:rFonts w:eastAsia="標楷體" w:hint="eastAsia"/>
          <w:sz w:val="28"/>
          <w:szCs w:val="28"/>
        </w:rPr>
        <w:t>）第三十條規定訂定，</w:t>
      </w:r>
      <w:r w:rsidR="00BD43B9" w:rsidRPr="007759E3">
        <w:rPr>
          <w:rFonts w:eastAsia="標楷體"/>
          <w:sz w:val="28"/>
          <w:szCs w:val="28"/>
        </w:rPr>
        <w:t>自</w:t>
      </w:r>
      <w:r w:rsidR="00A234CC">
        <w:rPr>
          <w:rFonts w:eastAsia="標楷體" w:hint="eastAsia"/>
          <w:sz w:val="28"/>
          <w:szCs w:val="28"/>
        </w:rPr>
        <w:t>九</w:t>
      </w:r>
      <w:r w:rsidR="00BD43B9" w:rsidRPr="007759E3">
        <w:rPr>
          <w:rFonts w:eastAsia="標楷體"/>
          <w:sz w:val="28"/>
          <w:szCs w:val="28"/>
        </w:rPr>
        <w:t>十</w:t>
      </w:r>
      <w:r w:rsidR="00A234CC">
        <w:rPr>
          <w:rFonts w:eastAsia="標楷體" w:hint="eastAsia"/>
          <w:sz w:val="28"/>
          <w:szCs w:val="28"/>
        </w:rPr>
        <w:t>三</w:t>
      </w:r>
      <w:r w:rsidR="00BD43B9" w:rsidRPr="007759E3">
        <w:rPr>
          <w:rFonts w:eastAsia="標楷體"/>
          <w:sz w:val="28"/>
          <w:szCs w:val="28"/>
        </w:rPr>
        <w:t>年</w:t>
      </w:r>
      <w:r w:rsidR="00A234CC">
        <w:rPr>
          <w:rFonts w:eastAsia="標楷體" w:hint="eastAsia"/>
          <w:sz w:val="28"/>
          <w:szCs w:val="28"/>
        </w:rPr>
        <w:t>七</w:t>
      </w:r>
      <w:r w:rsidR="00BD43B9" w:rsidRPr="007759E3">
        <w:rPr>
          <w:rFonts w:eastAsia="標楷體"/>
          <w:sz w:val="28"/>
          <w:szCs w:val="28"/>
        </w:rPr>
        <w:t>月</w:t>
      </w:r>
      <w:r w:rsidR="00A234CC">
        <w:rPr>
          <w:rFonts w:eastAsia="標楷體" w:hint="eastAsia"/>
          <w:sz w:val="28"/>
          <w:szCs w:val="28"/>
        </w:rPr>
        <w:t>十三</w:t>
      </w:r>
      <w:r w:rsidR="00BD43B9" w:rsidRPr="007759E3">
        <w:rPr>
          <w:rFonts w:eastAsia="標楷體"/>
          <w:sz w:val="28"/>
          <w:szCs w:val="28"/>
        </w:rPr>
        <w:t>日</w:t>
      </w:r>
      <w:r w:rsidR="00F673FE">
        <w:rPr>
          <w:rFonts w:eastAsia="標楷體" w:hint="eastAsia"/>
          <w:sz w:val="28"/>
          <w:szCs w:val="28"/>
        </w:rPr>
        <w:t>發布以來</w:t>
      </w:r>
      <w:r w:rsidR="00BD43B9" w:rsidRPr="007759E3">
        <w:rPr>
          <w:rFonts w:eastAsia="標楷體"/>
          <w:sz w:val="28"/>
          <w:szCs w:val="28"/>
        </w:rPr>
        <w:t>，歷經</w:t>
      </w:r>
      <w:r w:rsidR="00F673FE">
        <w:rPr>
          <w:rFonts w:eastAsia="標楷體" w:hint="eastAsia"/>
          <w:sz w:val="28"/>
          <w:szCs w:val="28"/>
        </w:rPr>
        <w:t>五</w:t>
      </w:r>
      <w:r w:rsidR="00BD43B9" w:rsidRPr="007759E3">
        <w:rPr>
          <w:rFonts w:eastAsia="標楷體"/>
          <w:sz w:val="28"/>
          <w:szCs w:val="28"/>
        </w:rPr>
        <w:t>度修正。</w:t>
      </w:r>
      <w:r w:rsidR="00936A92">
        <w:rPr>
          <w:rFonts w:eastAsia="標楷體" w:hint="eastAsia"/>
          <w:sz w:val="28"/>
          <w:szCs w:val="28"/>
        </w:rPr>
        <w:t>本次係配合</w:t>
      </w:r>
      <w:smartTag w:uri="urn:schemas-microsoft-com:office:smarttags" w:element="chsdate">
        <w:smartTagPr>
          <w:attr w:name="IsROCDate" w:val="False"/>
          <w:attr w:name="IsLunarDate" w:val="False"/>
          <w:attr w:name="Day" w:val="19"/>
          <w:attr w:name="Month" w:val="6"/>
          <w:attr w:name="Year" w:val="102"/>
        </w:smartTagPr>
        <w:r w:rsidR="00936A92">
          <w:rPr>
            <w:rFonts w:eastAsia="標楷體" w:hint="eastAsia"/>
            <w:sz w:val="28"/>
            <w:szCs w:val="28"/>
          </w:rPr>
          <w:t>一百零二年六月十九日</w:t>
        </w:r>
      </w:smartTag>
      <w:r w:rsidR="00936A92">
        <w:rPr>
          <w:rFonts w:eastAsia="標楷體" w:hint="eastAsia"/>
          <w:sz w:val="28"/>
          <w:szCs w:val="28"/>
        </w:rPr>
        <w:t>總統修正公布本法修正條</w:t>
      </w:r>
      <w:r w:rsidR="00936A92" w:rsidRPr="00B15CD0">
        <w:rPr>
          <w:rFonts w:eastAsia="標楷體" w:hint="eastAsia"/>
          <w:sz w:val="28"/>
          <w:szCs w:val="28"/>
        </w:rPr>
        <w:t>文</w:t>
      </w:r>
      <w:r>
        <w:rPr>
          <w:rFonts w:eastAsia="標楷體" w:hint="eastAsia"/>
          <w:sz w:val="28"/>
          <w:szCs w:val="28"/>
        </w:rPr>
        <w:t>。</w:t>
      </w:r>
      <w:r w:rsidR="00D2076A" w:rsidRPr="00B15CD0">
        <w:rPr>
          <w:rStyle w:val="f121"/>
          <w:rFonts w:ascii="Times New Roman" w:eastAsia="標楷體" w:hAnsi="Times New Roman" w:hint="default"/>
          <w:sz w:val="28"/>
          <w:szCs w:val="28"/>
        </w:rPr>
        <w:t>為有效</w:t>
      </w:r>
      <w:r w:rsidR="00B15CD0" w:rsidRPr="00B15CD0">
        <w:rPr>
          <w:rStyle w:val="f121"/>
          <w:rFonts w:ascii="Times New Roman" w:eastAsia="標楷體" w:hAnsi="Times New Roman" w:hint="default"/>
          <w:sz w:val="28"/>
          <w:szCs w:val="28"/>
        </w:rPr>
        <w:t>運</w:t>
      </w:r>
      <w:r w:rsidR="00B15CD0" w:rsidRPr="00B15CD0">
        <w:rPr>
          <w:rFonts w:eastAsia="標楷體" w:hint="eastAsia"/>
          <w:sz w:val="28"/>
          <w:szCs w:val="28"/>
          <w:lang w:val="zh-TW"/>
        </w:rPr>
        <w:t>用</w:t>
      </w:r>
      <w:r w:rsidR="00B15CD0" w:rsidRPr="00024E64">
        <w:rPr>
          <w:rFonts w:eastAsia="標楷體" w:hint="eastAsia"/>
          <w:sz w:val="28"/>
          <w:szCs w:val="28"/>
          <w:lang w:val="zh-TW"/>
        </w:rPr>
        <w:t>預防接種受害救濟資源</w:t>
      </w:r>
      <w:r w:rsidR="00D2076A" w:rsidRPr="00476261">
        <w:rPr>
          <w:rStyle w:val="f121"/>
          <w:rFonts w:ascii="Times New Roman" w:eastAsia="標楷體" w:hAnsi="Times New Roman" w:hint="default"/>
          <w:sz w:val="28"/>
          <w:szCs w:val="28"/>
        </w:rPr>
        <w:t>，加強</w:t>
      </w:r>
      <w:r w:rsidR="004777F9" w:rsidRPr="00476261">
        <w:rPr>
          <w:rStyle w:val="f121"/>
          <w:rFonts w:ascii="Times New Roman" w:eastAsia="標楷體" w:hAnsi="Times New Roman" w:hint="default"/>
          <w:sz w:val="28"/>
          <w:szCs w:val="28"/>
        </w:rPr>
        <w:t>民眾救濟權益之保障</w:t>
      </w:r>
      <w:r w:rsidR="00476261" w:rsidRPr="00476261">
        <w:rPr>
          <w:rStyle w:val="f121"/>
          <w:rFonts w:ascii="Times New Roman" w:eastAsia="標楷體" w:hAnsi="Times New Roman" w:hint="default"/>
          <w:sz w:val="28"/>
          <w:szCs w:val="28"/>
        </w:rPr>
        <w:t>範圍</w:t>
      </w:r>
      <w:r w:rsidR="00F673FE" w:rsidRPr="00476261">
        <w:rPr>
          <w:rFonts w:eastAsia="標楷體" w:hint="eastAsia"/>
          <w:sz w:val="28"/>
          <w:szCs w:val="28"/>
        </w:rPr>
        <w:t>，</w:t>
      </w:r>
      <w:r w:rsidR="00F673FE">
        <w:rPr>
          <w:rFonts w:eastAsia="標楷體" w:hint="eastAsia"/>
          <w:sz w:val="28"/>
          <w:szCs w:val="28"/>
        </w:rPr>
        <w:t>爰</w:t>
      </w:r>
      <w:r w:rsidR="00D36D9F">
        <w:rPr>
          <w:rFonts w:eastAsia="標楷體" w:hint="eastAsia"/>
          <w:sz w:val="28"/>
          <w:szCs w:val="28"/>
        </w:rPr>
        <w:t>修正</w:t>
      </w:r>
      <w:r w:rsidR="00F673FE">
        <w:rPr>
          <w:rFonts w:eastAsia="標楷體" w:hint="eastAsia"/>
          <w:sz w:val="28"/>
          <w:szCs w:val="28"/>
        </w:rPr>
        <w:t>「</w:t>
      </w:r>
      <w:r w:rsidR="00E2411A">
        <w:rPr>
          <w:rFonts w:eastAsia="標楷體" w:hint="eastAsia"/>
          <w:sz w:val="28"/>
          <w:szCs w:val="28"/>
        </w:rPr>
        <w:t>預</w:t>
      </w:r>
      <w:r w:rsidR="00F673FE">
        <w:rPr>
          <w:rFonts w:eastAsia="標楷體" w:hint="eastAsia"/>
          <w:sz w:val="28"/>
          <w:szCs w:val="28"/>
        </w:rPr>
        <w:t>防接種受害救濟基金徵收及審議辦</w:t>
      </w:r>
      <w:r w:rsidR="00F673FE" w:rsidRPr="007759E3">
        <w:rPr>
          <w:rFonts w:eastAsia="標楷體"/>
          <w:sz w:val="28"/>
          <w:szCs w:val="28"/>
        </w:rPr>
        <w:t>法</w:t>
      </w:r>
      <w:r w:rsidR="00F673FE">
        <w:rPr>
          <w:rFonts w:eastAsia="標楷體" w:hint="eastAsia"/>
          <w:sz w:val="28"/>
          <w:szCs w:val="28"/>
        </w:rPr>
        <w:t>」部分條文，</w:t>
      </w:r>
      <w:r>
        <w:rPr>
          <w:rFonts w:eastAsia="標楷體" w:hint="eastAsia"/>
          <w:sz w:val="28"/>
          <w:szCs w:val="28"/>
        </w:rPr>
        <w:t>共修正</w:t>
      </w:r>
      <w:r w:rsidR="00BC1373">
        <w:rPr>
          <w:rFonts w:eastAsia="標楷體" w:hint="eastAsia"/>
          <w:sz w:val="28"/>
          <w:szCs w:val="28"/>
        </w:rPr>
        <w:t>六</w:t>
      </w:r>
      <w:r>
        <w:rPr>
          <w:rFonts w:eastAsia="標楷體" w:hint="eastAsia"/>
          <w:sz w:val="28"/>
          <w:szCs w:val="28"/>
        </w:rPr>
        <w:t>條、新增二條</w:t>
      </w:r>
      <w:r w:rsidR="00326446">
        <w:rPr>
          <w:rFonts w:eastAsia="標楷體" w:hint="eastAsia"/>
          <w:sz w:val="28"/>
          <w:szCs w:val="28"/>
        </w:rPr>
        <w:t>，</w:t>
      </w:r>
      <w:r w:rsidR="00F673FE">
        <w:rPr>
          <w:rFonts w:eastAsia="標楷體" w:hint="eastAsia"/>
          <w:sz w:val="28"/>
          <w:szCs w:val="28"/>
        </w:rPr>
        <w:t>其</w:t>
      </w:r>
      <w:r w:rsidR="00F673FE" w:rsidRPr="007759E3">
        <w:rPr>
          <w:rFonts w:eastAsia="標楷體"/>
          <w:sz w:val="28"/>
          <w:szCs w:val="28"/>
        </w:rPr>
        <w:t>修正要點如次：</w:t>
      </w:r>
      <w:r w:rsidR="00D2076A" w:rsidRPr="007759E3">
        <w:rPr>
          <w:rFonts w:eastAsia="標楷體"/>
          <w:sz w:val="28"/>
          <w:szCs w:val="28"/>
        </w:rPr>
        <w:t xml:space="preserve"> </w:t>
      </w:r>
    </w:p>
    <w:p w:rsidR="00BD43B9" w:rsidRDefault="009B7040" w:rsidP="002E17DD">
      <w:pPr>
        <w:numPr>
          <w:ilvl w:val="0"/>
          <w:numId w:val="8"/>
        </w:numPr>
        <w:adjustRightInd w:val="0"/>
        <w:snapToGrid w:val="0"/>
        <w:spacing w:line="460" w:lineRule="exact"/>
        <w:ind w:left="567" w:hanging="565"/>
        <w:jc w:val="both"/>
        <w:rPr>
          <w:rFonts w:eastAsia="標楷體" w:hint="eastAsia"/>
          <w:sz w:val="28"/>
          <w:szCs w:val="28"/>
        </w:rPr>
      </w:pPr>
      <w:r>
        <w:rPr>
          <w:rFonts w:eastAsia="標楷體" w:hint="eastAsia"/>
          <w:sz w:val="28"/>
          <w:szCs w:val="28"/>
        </w:rPr>
        <w:t>為</w:t>
      </w:r>
      <w:r w:rsidR="006A43CE">
        <w:rPr>
          <w:rFonts w:eastAsia="標楷體" w:hint="eastAsia"/>
          <w:sz w:val="28"/>
          <w:szCs w:val="28"/>
        </w:rPr>
        <w:t>保障</w:t>
      </w:r>
      <w:r>
        <w:rPr>
          <w:rFonts w:eastAsia="標楷體" w:hint="eastAsia"/>
          <w:sz w:val="28"/>
          <w:szCs w:val="28"/>
        </w:rPr>
        <w:t>民眾權益並兼顧防疫政策</w:t>
      </w:r>
      <w:r w:rsidR="006A43CE">
        <w:rPr>
          <w:rFonts w:eastAsia="標楷體" w:hint="eastAsia"/>
          <w:sz w:val="28"/>
          <w:szCs w:val="28"/>
        </w:rPr>
        <w:t>推行</w:t>
      </w:r>
      <w:r>
        <w:rPr>
          <w:rFonts w:eastAsia="標楷體" w:hint="eastAsia"/>
          <w:sz w:val="28"/>
          <w:szCs w:val="28"/>
        </w:rPr>
        <w:t>，</w:t>
      </w:r>
      <w:r w:rsidR="00E2411A">
        <w:rPr>
          <w:rFonts w:eastAsia="標楷體" w:hint="eastAsia"/>
          <w:sz w:val="28"/>
          <w:szCs w:val="28"/>
        </w:rPr>
        <w:t>爰</w:t>
      </w:r>
      <w:r w:rsidR="003F05EC">
        <w:rPr>
          <w:rFonts w:eastAsia="標楷體" w:hint="eastAsia"/>
          <w:sz w:val="28"/>
          <w:szCs w:val="28"/>
        </w:rPr>
        <w:t>將</w:t>
      </w:r>
      <w:r w:rsidR="00FB2318">
        <w:rPr>
          <w:rFonts w:eastAsia="標楷體" w:hint="eastAsia"/>
          <w:sz w:val="28"/>
          <w:szCs w:val="28"/>
        </w:rPr>
        <w:t>政府</w:t>
      </w:r>
      <w:r>
        <w:rPr>
          <w:rFonts w:eastAsia="標楷體" w:hint="eastAsia"/>
          <w:sz w:val="28"/>
          <w:szCs w:val="28"/>
        </w:rPr>
        <w:t>以</w:t>
      </w:r>
      <w:r w:rsidR="00FB2318">
        <w:rPr>
          <w:rFonts w:eastAsia="標楷體" w:hint="eastAsia"/>
          <w:sz w:val="28"/>
          <w:szCs w:val="28"/>
        </w:rPr>
        <w:t>緊急專案</w:t>
      </w:r>
      <w:r w:rsidR="00E2411A">
        <w:rPr>
          <w:rFonts w:eastAsia="標楷體" w:hint="eastAsia"/>
          <w:sz w:val="28"/>
          <w:szCs w:val="28"/>
        </w:rPr>
        <w:t>進口</w:t>
      </w:r>
      <w:r w:rsidR="00EA603A">
        <w:rPr>
          <w:rFonts w:eastAsia="標楷體" w:hint="eastAsia"/>
          <w:sz w:val="28"/>
          <w:szCs w:val="28"/>
        </w:rPr>
        <w:t>且</w:t>
      </w:r>
      <w:r w:rsidR="004777F9">
        <w:rPr>
          <w:rFonts w:eastAsia="標楷體" w:hint="eastAsia"/>
          <w:sz w:val="28"/>
          <w:szCs w:val="28"/>
        </w:rPr>
        <w:t>採</w:t>
      </w:r>
      <w:r w:rsidR="003135DC">
        <w:rPr>
          <w:rFonts w:eastAsia="標楷體" w:hint="eastAsia"/>
          <w:sz w:val="28"/>
          <w:szCs w:val="28"/>
        </w:rPr>
        <w:t>書面審查</w:t>
      </w:r>
      <w:r>
        <w:rPr>
          <w:rFonts w:eastAsia="標楷體" w:hint="eastAsia"/>
          <w:sz w:val="28"/>
          <w:szCs w:val="28"/>
        </w:rPr>
        <w:t>合格</w:t>
      </w:r>
      <w:r w:rsidR="00E2411A">
        <w:rPr>
          <w:rFonts w:eastAsia="標楷體" w:hint="eastAsia"/>
          <w:sz w:val="28"/>
          <w:szCs w:val="28"/>
        </w:rPr>
        <w:t>封緘</w:t>
      </w:r>
      <w:r w:rsidR="006A43CE">
        <w:rPr>
          <w:rFonts w:eastAsia="標楷體" w:hint="eastAsia"/>
          <w:sz w:val="28"/>
          <w:szCs w:val="28"/>
        </w:rPr>
        <w:t>之疫苗</w:t>
      </w:r>
      <w:r w:rsidR="003135DC">
        <w:rPr>
          <w:rFonts w:eastAsia="標楷體" w:hint="eastAsia"/>
          <w:sz w:val="28"/>
          <w:szCs w:val="28"/>
        </w:rPr>
        <w:t>，</w:t>
      </w:r>
      <w:r w:rsidR="006A43CE">
        <w:rPr>
          <w:rFonts w:eastAsia="標楷體" w:hint="eastAsia"/>
          <w:sz w:val="28"/>
          <w:szCs w:val="28"/>
        </w:rPr>
        <w:t>納入預防接種</w:t>
      </w:r>
      <w:r>
        <w:rPr>
          <w:rFonts w:eastAsia="標楷體" w:hint="eastAsia"/>
          <w:sz w:val="28"/>
          <w:szCs w:val="28"/>
        </w:rPr>
        <w:t>受害</w:t>
      </w:r>
      <w:r w:rsidR="006A43CE">
        <w:rPr>
          <w:rFonts w:eastAsia="標楷體" w:hint="eastAsia"/>
          <w:sz w:val="28"/>
          <w:szCs w:val="28"/>
        </w:rPr>
        <w:t>救濟之</w:t>
      </w:r>
      <w:r w:rsidR="00E2411A">
        <w:rPr>
          <w:rFonts w:eastAsia="標楷體" w:hint="eastAsia"/>
          <w:sz w:val="28"/>
          <w:szCs w:val="28"/>
        </w:rPr>
        <w:t>請求</w:t>
      </w:r>
      <w:r w:rsidR="006A43CE">
        <w:rPr>
          <w:rFonts w:eastAsia="標楷體" w:hint="eastAsia"/>
          <w:sz w:val="28"/>
          <w:szCs w:val="28"/>
        </w:rPr>
        <w:t>範圍</w:t>
      </w:r>
      <w:r w:rsidR="00BD43B9" w:rsidRPr="007759E3">
        <w:rPr>
          <w:rFonts w:eastAsia="標楷體"/>
          <w:sz w:val="28"/>
          <w:szCs w:val="28"/>
        </w:rPr>
        <w:t>。（修正條文第</w:t>
      </w:r>
      <w:r w:rsidR="00FB2318">
        <w:rPr>
          <w:rFonts w:eastAsia="標楷體" w:hint="eastAsia"/>
          <w:sz w:val="28"/>
          <w:szCs w:val="28"/>
        </w:rPr>
        <w:t>二</w:t>
      </w:r>
      <w:r w:rsidR="00BD43B9" w:rsidRPr="007759E3">
        <w:rPr>
          <w:rFonts w:eastAsia="標楷體"/>
          <w:sz w:val="28"/>
          <w:szCs w:val="28"/>
        </w:rPr>
        <w:t>條</w:t>
      </w:r>
      <w:r w:rsidR="007540F8">
        <w:rPr>
          <w:rFonts w:eastAsia="標楷體" w:hint="eastAsia"/>
          <w:sz w:val="28"/>
          <w:szCs w:val="28"/>
        </w:rPr>
        <w:t>、第二條之一</w:t>
      </w:r>
      <w:r w:rsidR="00BD43B9" w:rsidRPr="007759E3">
        <w:rPr>
          <w:rFonts w:eastAsia="標楷體"/>
          <w:sz w:val="28"/>
          <w:szCs w:val="28"/>
        </w:rPr>
        <w:t>）</w:t>
      </w:r>
    </w:p>
    <w:p w:rsidR="001139B7" w:rsidRDefault="00F3413A" w:rsidP="002E17DD">
      <w:pPr>
        <w:numPr>
          <w:ilvl w:val="0"/>
          <w:numId w:val="8"/>
        </w:numPr>
        <w:adjustRightInd w:val="0"/>
        <w:snapToGrid w:val="0"/>
        <w:spacing w:line="460" w:lineRule="exact"/>
        <w:ind w:leftChars="1" w:left="570" w:hangingChars="203" w:hanging="568"/>
        <w:jc w:val="both"/>
        <w:rPr>
          <w:rFonts w:eastAsia="標楷體" w:hint="eastAsia"/>
          <w:sz w:val="28"/>
          <w:szCs w:val="28"/>
        </w:rPr>
      </w:pPr>
      <w:r>
        <w:rPr>
          <w:rFonts w:eastAsia="標楷體" w:hint="eastAsia"/>
          <w:sz w:val="28"/>
          <w:szCs w:val="28"/>
        </w:rPr>
        <w:t>修正現行</w:t>
      </w:r>
      <w:r w:rsidR="001139B7">
        <w:rPr>
          <w:rFonts w:eastAsia="標楷體" w:hint="eastAsia"/>
          <w:sz w:val="28"/>
          <w:szCs w:val="28"/>
        </w:rPr>
        <w:t>條文</w:t>
      </w:r>
      <w:r>
        <w:rPr>
          <w:rFonts w:eastAsia="標楷體" w:hint="eastAsia"/>
          <w:sz w:val="28"/>
          <w:szCs w:val="28"/>
        </w:rPr>
        <w:t>之</w:t>
      </w:r>
      <w:r w:rsidR="001139B7">
        <w:rPr>
          <w:rFonts w:eastAsia="標楷體" w:hint="eastAsia"/>
          <w:sz w:val="28"/>
          <w:szCs w:val="28"/>
        </w:rPr>
        <w:t>「中央衛生主管機關」為「中央主管機關」。</w:t>
      </w:r>
      <w:r w:rsidR="001139B7" w:rsidRPr="007759E3">
        <w:rPr>
          <w:rFonts w:eastAsia="標楷體"/>
          <w:sz w:val="28"/>
          <w:szCs w:val="28"/>
        </w:rPr>
        <w:t>（修正條文</w:t>
      </w:r>
      <w:r w:rsidR="00E80506">
        <w:rPr>
          <w:rFonts w:eastAsia="標楷體" w:hint="eastAsia"/>
          <w:sz w:val="28"/>
          <w:szCs w:val="28"/>
        </w:rPr>
        <w:t>第二條之一、</w:t>
      </w:r>
      <w:r w:rsidR="001139B7" w:rsidRPr="007759E3">
        <w:rPr>
          <w:rFonts w:eastAsia="標楷體"/>
          <w:sz w:val="28"/>
          <w:szCs w:val="28"/>
        </w:rPr>
        <w:t>第</w:t>
      </w:r>
      <w:r w:rsidR="001139B7">
        <w:rPr>
          <w:rFonts w:eastAsia="標楷體" w:hint="eastAsia"/>
          <w:sz w:val="28"/>
          <w:szCs w:val="28"/>
        </w:rPr>
        <w:t>二</w:t>
      </w:r>
      <w:r w:rsidR="001139B7" w:rsidRPr="007759E3">
        <w:rPr>
          <w:rFonts w:eastAsia="標楷體"/>
          <w:sz w:val="28"/>
          <w:szCs w:val="28"/>
        </w:rPr>
        <w:t>條</w:t>
      </w:r>
      <w:r w:rsidR="001139B7">
        <w:rPr>
          <w:rFonts w:eastAsia="標楷體" w:hint="eastAsia"/>
          <w:sz w:val="28"/>
          <w:szCs w:val="28"/>
        </w:rPr>
        <w:t>之二、第四條</w:t>
      </w:r>
      <w:r w:rsidR="001139B7" w:rsidRPr="007759E3">
        <w:rPr>
          <w:rFonts w:eastAsia="標楷體"/>
          <w:sz w:val="28"/>
          <w:szCs w:val="28"/>
        </w:rPr>
        <w:t>）</w:t>
      </w:r>
    </w:p>
    <w:p w:rsidR="001139B7" w:rsidRDefault="00F3413A" w:rsidP="00326446">
      <w:pPr>
        <w:numPr>
          <w:ilvl w:val="0"/>
          <w:numId w:val="8"/>
        </w:numPr>
        <w:adjustRightInd w:val="0"/>
        <w:snapToGrid w:val="0"/>
        <w:spacing w:line="460" w:lineRule="exact"/>
        <w:ind w:leftChars="1" w:left="570" w:hangingChars="203" w:hanging="568"/>
        <w:jc w:val="both"/>
        <w:rPr>
          <w:rFonts w:eastAsia="標楷體" w:hint="eastAsia"/>
          <w:sz w:val="28"/>
          <w:szCs w:val="28"/>
        </w:rPr>
      </w:pPr>
      <w:r>
        <w:rPr>
          <w:rFonts w:eastAsia="標楷體" w:hint="eastAsia"/>
          <w:sz w:val="28"/>
          <w:szCs w:val="28"/>
        </w:rPr>
        <w:t>增訂</w:t>
      </w:r>
      <w:r w:rsidR="008A7710">
        <w:rPr>
          <w:rFonts w:eastAsia="標楷體" w:hint="eastAsia"/>
          <w:sz w:val="28"/>
          <w:szCs w:val="28"/>
        </w:rPr>
        <w:t>附表</w:t>
      </w:r>
      <w:r w:rsidR="008A7710" w:rsidRPr="008A7710">
        <w:rPr>
          <w:rFonts w:eastAsia="標楷體" w:hint="eastAsia"/>
          <w:sz w:val="28"/>
          <w:szCs w:val="28"/>
        </w:rPr>
        <w:t>預防接種受害救濟給付金額範圍</w:t>
      </w:r>
      <w:r>
        <w:rPr>
          <w:rFonts w:eastAsia="標楷體" w:hint="eastAsia"/>
          <w:sz w:val="28"/>
          <w:szCs w:val="28"/>
        </w:rPr>
        <w:t>，</w:t>
      </w:r>
      <w:r w:rsidR="00AA66C6" w:rsidRPr="001139B7">
        <w:rPr>
          <w:rFonts w:eastAsia="標楷體" w:hint="eastAsia"/>
          <w:sz w:val="28"/>
          <w:szCs w:val="28"/>
        </w:rPr>
        <w:t>提高</w:t>
      </w:r>
      <w:r w:rsidR="00EC59BD" w:rsidRPr="001139B7">
        <w:rPr>
          <w:rFonts w:eastAsia="標楷體" w:hint="eastAsia"/>
          <w:sz w:val="28"/>
          <w:szCs w:val="28"/>
        </w:rPr>
        <w:t>預防接種致</w:t>
      </w:r>
      <w:r w:rsidR="002E17DD" w:rsidRPr="001139B7">
        <w:rPr>
          <w:rFonts w:eastAsia="標楷體" w:hint="eastAsia"/>
          <w:sz w:val="28"/>
          <w:szCs w:val="28"/>
        </w:rPr>
        <w:t>障礙</w:t>
      </w:r>
      <w:r w:rsidR="00AA66C6" w:rsidRPr="001139B7">
        <w:rPr>
          <w:rFonts w:eastAsia="標楷體" w:hint="eastAsia"/>
          <w:sz w:val="28"/>
          <w:szCs w:val="28"/>
        </w:rPr>
        <w:t>及嚴重疾病</w:t>
      </w:r>
      <w:r w:rsidR="002E17DD" w:rsidRPr="001139B7">
        <w:rPr>
          <w:rFonts w:eastAsia="標楷體" w:hint="eastAsia"/>
          <w:sz w:val="28"/>
          <w:szCs w:val="28"/>
        </w:rPr>
        <w:t>之給付</w:t>
      </w:r>
      <w:r>
        <w:rPr>
          <w:rFonts w:eastAsia="標楷體" w:hint="eastAsia"/>
          <w:sz w:val="28"/>
          <w:szCs w:val="28"/>
        </w:rPr>
        <w:t>金額</w:t>
      </w:r>
      <w:r w:rsidR="00EA603A" w:rsidRPr="001139B7">
        <w:rPr>
          <w:rFonts w:eastAsia="標楷體" w:hint="eastAsia"/>
          <w:sz w:val="28"/>
          <w:szCs w:val="28"/>
        </w:rPr>
        <w:t>上限</w:t>
      </w:r>
      <w:r w:rsidR="00647E31">
        <w:rPr>
          <w:rFonts w:eastAsia="標楷體" w:hint="eastAsia"/>
          <w:sz w:val="28"/>
          <w:szCs w:val="28"/>
        </w:rPr>
        <w:t>，並增訂障礙給付項目需</w:t>
      </w:r>
      <w:r>
        <w:rPr>
          <w:rFonts w:eastAsia="標楷體"/>
          <w:sz w:val="28"/>
          <w:szCs w:val="28"/>
        </w:rPr>
        <w:t>依身心障礙者權益保障法令所定障礙類別</w:t>
      </w:r>
      <w:r>
        <w:rPr>
          <w:rFonts w:eastAsia="標楷體" w:hint="eastAsia"/>
          <w:sz w:val="28"/>
          <w:szCs w:val="28"/>
        </w:rPr>
        <w:t>及</w:t>
      </w:r>
      <w:r w:rsidR="00647E31" w:rsidRPr="00647E31">
        <w:rPr>
          <w:rFonts w:eastAsia="標楷體"/>
          <w:sz w:val="28"/>
          <w:szCs w:val="28"/>
        </w:rPr>
        <w:t>等級認定</w:t>
      </w:r>
      <w:r w:rsidR="00BF000E" w:rsidRPr="001139B7">
        <w:rPr>
          <w:rFonts w:eastAsia="標楷體" w:hint="eastAsia"/>
          <w:sz w:val="28"/>
          <w:szCs w:val="28"/>
        </w:rPr>
        <w:t>。</w:t>
      </w:r>
      <w:r w:rsidR="00BD43B9" w:rsidRPr="001139B7">
        <w:rPr>
          <w:rFonts w:eastAsia="標楷體"/>
          <w:sz w:val="28"/>
          <w:szCs w:val="28"/>
        </w:rPr>
        <w:t>（修正條文第</w:t>
      </w:r>
      <w:r w:rsidR="00D2076A" w:rsidRPr="001139B7">
        <w:rPr>
          <w:rFonts w:eastAsia="標楷體" w:hint="eastAsia"/>
          <w:sz w:val="28"/>
          <w:szCs w:val="28"/>
        </w:rPr>
        <w:t>七</w:t>
      </w:r>
      <w:r w:rsidR="00BD43B9" w:rsidRPr="001139B7">
        <w:rPr>
          <w:rFonts w:eastAsia="標楷體"/>
          <w:sz w:val="28"/>
          <w:szCs w:val="28"/>
        </w:rPr>
        <w:t>條）</w:t>
      </w:r>
    </w:p>
    <w:p w:rsidR="00BD43B9" w:rsidRDefault="00024E64" w:rsidP="002E17DD">
      <w:pPr>
        <w:numPr>
          <w:ilvl w:val="0"/>
          <w:numId w:val="8"/>
        </w:numPr>
        <w:adjustRightInd w:val="0"/>
        <w:snapToGrid w:val="0"/>
        <w:spacing w:line="460" w:lineRule="exact"/>
        <w:ind w:leftChars="1" w:left="570" w:hangingChars="203" w:hanging="568"/>
        <w:jc w:val="both"/>
        <w:rPr>
          <w:rFonts w:eastAsia="標楷體" w:hint="eastAsia"/>
          <w:sz w:val="28"/>
          <w:szCs w:val="28"/>
        </w:rPr>
      </w:pPr>
      <w:r w:rsidRPr="001139B7">
        <w:rPr>
          <w:rFonts w:eastAsia="標楷體" w:hint="eastAsia"/>
          <w:sz w:val="28"/>
          <w:szCs w:val="28"/>
          <w:lang w:val="zh-TW"/>
        </w:rPr>
        <w:t>為</w:t>
      </w:r>
      <w:r w:rsidR="002E17DD" w:rsidRPr="001139B7">
        <w:rPr>
          <w:rFonts w:eastAsia="標楷體" w:hint="eastAsia"/>
          <w:sz w:val="28"/>
          <w:szCs w:val="28"/>
          <w:lang w:val="zh-TW"/>
        </w:rPr>
        <w:t>使</w:t>
      </w:r>
      <w:r w:rsidRPr="001139B7">
        <w:rPr>
          <w:rFonts w:eastAsia="標楷體" w:hint="eastAsia"/>
          <w:sz w:val="28"/>
          <w:szCs w:val="28"/>
          <w:lang w:val="zh-TW"/>
        </w:rPr>
        <w:t>預防接種受害救濟資源</w:t>
      </w:r>
      <w:r w:rsidR="002E17DD" w:rsidRPr="001139B7">
        <w:rPr>
          <w:rFonts w:eastAsia="標楷體" w:hint="eastAsia"/>
          <w:sz w:val="28"/>
          <w:szCs w:val="28"/>
          <w:lang w:val="zh-TW"/>
        </w:rPr>
        <w:t>有效運用</w:t>
      </w:r>
      <w:r w:rsidR="00BD43B9" w:rsidRPr="001139B7">
        <w:rPr>
          <w:rFonts w:eastAsia="標楷體"/>
          <w:sz w:val="28"/>
          <w:szCs w:val="28"/>
          <w:lang w:val="zh-TW"/>
        </w:rPr>
        <w:t>，</w:t>
      </w:r>
      <w:r w:rsidR="00E93580" w:rsidRPr="001139B7">
        <w:rPr>
          <w:rFonts w:eastAsia="標楷體" w:hint="eastAsia"/>
          <w:sz w:val="28"/>
          <w:szCs w:val="28"/>
          <w:lang w:val="zh-TW"/>
        </w:rPr>
        <w:t>爰</w:t>
      </w:r>
      <w:r w:rsidR="00F3413A">
        <w:rPr>
          <w:rFonts w:eastAsia="標楷體" w:hint="eastAsia"/>
          <w:sz w:val="28"/>
          <w:szCs w:val="28"/>
          <w:lang w:val="zh-TW"/>
        </w:rPr>
        <w:t>增訂</w:t>
      </w:r>
      <w:r w:rsidR="007673FC" w:rsidRPr="001139B7">
        <w:rPr>
          <w:rFonts w:eastAsia="標楷體" w:hint="eastAsia"/>
          <w:sz w:val="28"/>
          <w:szCs w:val="28"/>
          <w:lang w:val="zh-TW"/>
        </w:rPr>
        <w:t>申請案件</w:t>
      </w:r>
      <w:r w:rsidR="00AA66C6" w:rsidRPr="001139B7">
        <w:rPr>
          <w:rFonts w:eastAsia="標楷體" w:hint="eastAsia"/>
          <w:sz w:val="28"/>
          <w:szCs w:val="28"/>
          <w:lang w:val="zh-TW"/>
        </w:rPr>
        <w:t>不予救濟</w:t>
      </w:r>
      <w:r w:rsidR="00B75210" w:rsidRPr="001139B7">
        <w:rPr>
          <w:rFonts w:eastAsia="標楷體" w:hint="eastAsia"/>
          <w:sz w:val="28"/>
          <w:szCs w:val="28"/>
          <w:lang w:val="zh-TW"/>
        </w:rPr>
        <w:t>之情形</w:t>
      </w:r>
      <w:r w:rsidR="00F5101E" w:rsidRPr="001139B7">
        <w:rPr>
          <w:rFonts w:eastAsia="標楷體" w:hint="eastAsia"/>
          <w:sz w:val="28"/>
          <w:szCs w:val="28"/>
          <w:lang w:val="zh-TW"/>
        </w:rPr>
        <w:t>。</w:t>
      </w:r>
      <w:r w:rsidR="00BD43B9" w:rsidRPr="001139B7">
        <w:rPr>
          <w:rFonts w:eastAsia="標楷體"/>
          <w:sz w:val="28"/>
          <w:szCs w:val="28"/>
        </w:rPr>
        <w:t>（</w:t>
      </w:r>
      <w:r w:rsidRPr="001139B7">
        <w:rPr>
          <w:rFonts w:eastAsia="標楷體"/>
          <w:sz w:val="28"/>
          <w:szCs w:val="28"/>
        </w:rPr>
        <w:t>修正條文</w:t>
      </w:r>
      <w:r w:rsidR="00B75210" w:rsidRPr="001139B7">
        <w:rPr>
          <w:rFonts w:eastAsia="標楷體" w:hint="eastAsia"/>
          <w:sz w:val="28"/>
          <w:szCs w:val="28"/>
        </w:rPr>
        <w:t>第七條之</w:t>
      </w:r>
      <w:r w:rsidR="00647E31" w:rsidRPr="001139B7">
        <w:rPr>
          <w:rFonts w:eastAsia="標楷體" w:hint="eastAsia"/>
          <w:sz w:val="28"/>
          <w:szCs w:val="28"/>
        </w:rPr>
        <w:t>一</w:t>
      </w:r>
      <w:r w:rsidR="00BD43B9" w:rsidRPr="001139B7">
        <w:rPr>
          <w:rFonts w:eastAsia="標楷體"/>
          <w:sz w:val="28"/>
          <w:szCs w:val="28"/>
        </w:rPr>
        <w:t>）</w:t>
      </w:r>
    </w:p>
    <w:p w:rsidR="00647E31" w:rsidRDefault="00F3413A" w:rsidP="00647E31">
      <w:pPr>
        <w:numPr>
          <w:ilvl w:val="0"/>
          <w:numId w:val="8"/>
        </w:numPr>
        <w:adjustRightInd w:val="0"/>
        <w:snapToGrid w:val="0"/>
        <w:spacing w:line="460" w:lineRule="exact"/>
        <w:ind w:leftChars="1" w:left="570" w:hangingChars="203" w:hanging="568"/>
        <w:jc w:val="both"/>
        <w:rPr>
          <w:rFonts w:eastAsia="標楷體" w:hint="eastAsia"/>
          <w:sz w:val="28"/>
          <w:szCs w:val="28"/>
        </w:rPr>
      </w:pPr>
      <w:r>
        <w:rPr>
          <w:rFonts w:eastAsia="標楷體" w:hint="eastAsia"/>
          <w:sz w:val="28"/>
          <w:szCs w:val="28"/>
        </w:rPr>
        <w:t>提高醫療補助</w:t>
      </w:r>
      <w:r w:rsidR="00647E31" w:rsidRPr="001139B7">
        <w:rPr>
          <w:rFonts w:eastAsia="標楷體" w:hint="eastAsia"/>
          <w:sz w:val="28"/>
          <w:szCs w:val="28"/>
        </w:rPr>
        <w:t>上限</w:t>
      </w:r>
      <w:r w:rsidR="00647E31">
        <w:rPr>
          <w:rFonts w:eastAsia="標楷體" w:hint="eastAsia"/>
          <w:sz w:val="28"/>
          <w:szCs w:val="28"/>
        </w:rPr>
        <w:t>，以反映審議實務上</w:t>
      </w:r>
      <w:r w:rsidR="00647E31" w:rsidRPr="00647E31">
        <w:rPr>
          <w:rFonts w:eastAsia="標楷體"/>
          <w:sz w:val="28"/>
          <w:szCs w:val="28"/>
        </w:rPr>
        <w:t>相關合理檢查及醫療所需之可能費用</w:t>
      </w:r>
      <w:r w:rsidR="00647E31" w:rsidRPr="001139B7">
        <w:rPr>
          <w:rFonts w:eastAsia="標楷體" w:hint="eastAsia"/>
          <w:sz w:val="28"/>
          <w:szCs w:val="28"/>
        </w:rPr>
        <w:t>。</w:t>
      </w:r>
      <w:r w:rsidR="00647E31" w:rsidRPr="001139B7">
        <w:rPr>
          <w:rFonts w:eastAsia="標楷體"/>
          <w:sz w:val="28"/>
          <w:szCs w:val="28"/>
        </w:rPr>
        <w:t>（</w:t>
      </w:r>
      <w:r w:rsidR="00861EA8">
        <w:rPr>
          <w:rFonts w:eastAsia="標楷體" w:hint="eastAsia"/>
          <w:sz w:val="28"/>
          <w:szCs w:val="28"/>
        </w:rPr>
        <w:t>修正條文</w:t>
      </w:r>
      <w:r w:rsidR="00647E31" w:rsidRPr="001139B7">
        <w:rPr>
          <w:rFonts w:eastAsia="標楷體" w:hint="eastAsia"/>
          <w:sz w:val="28"/>
          <w:szCs w:val="28"/>
        </w:rPr>
        <w:t>第七條之二</w:t>
      </w:r>
      <w:r w:rsidR="00647E31" w:rsidRPr="001139B7">
        <w:rPr>
          <w:rFonts w:eastAsia="標楷體"/>
          <w:sz w:val="28"/>
          <w:szCs w:val="28"/>
        </w:rPr>
        <w:t>）</w:t>
      </w:r>
    </w:p>
    <w:p w:rsidR="00137944" w:rsidRPr="001139B7" w:rsidRDefault="00647E31" w:rsidP="00647E31">
      <w:pPr>
        <w:numPr>
          <w:ilvl w:val="0"/>
          <w:numId w:val="8"/>
        </w:numPr>
        <w:adjustRightInd w:val="0"/>
        <w:snapToGrid w:val="0"/>
        <w:spacing w:line="460" w:lineRule="exact"/>
        <w:ind w:leftChars="1" w:left="570" w:hangingChars="203" w:hanging="568"/>
        <w:jc w:val="both"/>
        <w:rPr>
          <w:rFonts w:eastAsia="標楷體"/>
          <w:sz w:val="28"/>
          <w:szCs w:val="28"/>
        </w:rPr>
      </w:pPr>
      <w:r>
        <w:rPr>
          <w:rFonts w:eastAsia="標楷體" w:hint="eastAsia"/>
          <w:sz w:val="28"/>
          <w:szCs w:val="28"/>
        </w:rPr>
        <w:t>刪除</w:t>
      </w:r>
      <w:r w:rsidRPr="00647E31">
        <w:rPr>
          <w:rFonts w:eastAsia="標楷體" w:hint="eastAsia"/>
          <w:sz w:val="28"/>
          <w:szCs w:val="28"/>
        </w:rPr>
        <w:t>現行條文</w:t>
      </w:r>
      <w:r w:rsidR="00E80506">
        <w:rPr>
          <w:rFonts w:eastAsia="標楷體" w:hint="eastAsia"/>
          <w:sz w:val="28"/>
          <w:szCs w:val="28"/>
        </w:rPr>
        <w:t>有關</w:t>
      </w:r>
      <w:r>
        <w:rPr>
          <w:rFonts w:eastAsia="標楷體" w:hint="eastAsia"/>
          <w:sz w:val="28"/>
          <w:szCs w:val="28"/>
        </w:rPr>
        <w:t>受害人</w:t>
      </w:r>
      <w:r w:rsidR="00E80506">
        <w:rPr>
          <w:rFonts w:eastAsia="標楷體" w:hint="eastAsia"/>
          <w:sz w:val="28"/>
          <w:szCs w:val="28"/>
        </w:rPr>
        <w:t>之</w:t>
      </w:r>
      <w:r w:rsidRPr="00647E31">
        <w:rPr>
          <w:rFonts w:eastAsia="標楷體" w:hint="eastAsia"/>
          <w:sz w:val="28"/>
          <w:szCs w:val="28"/>
        </w:rPr>
        <w:t>法定代理人</w:t>
      </w:r>
      <w:r w:rsidR="00E80506">
        <w:rPr>
          <w:rFonts w:eastAsia="標楷體" w:hint="eastAsia"/>
          <w:sz w:val="28"/>
          <w:szCs w:val="28"/>
        </w:rPr>
        <w:t>亦可為</w:t>
      </w:r>
      <w:r>
        <w:rPr>
          <w:rFonts w:eastAsia="標楷體" w:hint="eastAsia"/>
          <w:sz w:val="28"/>
          <w:szCs w:val="28"/>
        </w:rPr>
        <w:t>受害救濟</w:t>
      </w:r>
      <w:r w:rsidRPr="00647E31">
        <w:rPr>
          <w:rFonts w:eastAsia="標楷體" w:hint="eastAsia"/>
          <w:sz w:val="28"/>
          <w:szCs w:val="28"/>
        </w:rPr>
        <w:t>請求權</w:t>
      </w:r>
      <w:r w:rsidR="00E80506">
        <w:rPr>
          <w:rFonts w:eastAsia="標楷體" w:hint="eastAsia"/>
          <w:sz w:val="28"/>
          <w:szCs w:val="28"/>
        </w:rPr>
        <w:t>人</w:t>
      </w:r>
      <w:r w:rsidR="00F3413A">
        <w:rPr>
          <w:rFonts w:eastAsia="標楷體" w:hint="eastAsia"/>
          <w:sz w:val="28"/>
          <w:szCs w:val="28"/>
        </w:rPr>
        <w:t>之規定</w:t>
      </w:r>
      <w:r w:rsidRPr="00647E31">
        <w:rPr>
          <w:rFonts w:eastAsia="標楷體" w:hint="eastAsia"/>
          <w:sz w:val="28"/>
          <w:szCs w:val="28"/>
        </w:rPr>
        <w:t>，</w:t>
      </w:r>
      <w:r w:rsidR="00F3413A">
        <w:rPr>
          <w:rFonts w:eastAsia="標楷體" w:hint="eastAsia"/>
          <w:sz w:val="28"/>
          <w:szCs w:val="28"/>
        </w:rPr>
        <w:t>俾</w:t>
      </w:r>
      <w:r w:rsidR="00E80506">
        <w:rPr>
          <w:rFonts w:eastAsia="標楷體" w:hint="eastAsia"/>
          <w:sz w:val="28"/>
          <w:szCs w:val="28"/>
        </w:rPr>
        <w:t>符合</w:t>
      </w:r>
      <w:r w:rsidRPr="00647E31">
        <w:rPr>
          <w:rFonts w:eastAsia="標楷體" w:hint="eastAsia"/>
          <w:sz w:val="28"/>
          <w:szCs w:val="28"/>
        </w:rPr>
        <w:t>民法規定</w:t>
      </w:r>
      <w:r w:rsidR="00E80506">
        <w:rPr>
          <w:rFonts w:eastAsia="標楷體" w:hint="eastAsia"/>
          <w:sz w:val="28"/>
          <w:szCs w:val="28"/>
        </w:rPr>
        <w:t>。</w:t>
      </w:r>
      <w:r w:rsidR="00E80506" w:rsidRPr="001139B7">
        <w:rPr>
          <w:rFonts w:eastAsia="標楷體"/>
          <w:sz w:val="28"/>
          <w:szCs w:val="28"/>
        </w:rPr>
        <w:t>（</w:t>
      </w:r>
      <w:r w:rsidR="00861EA8">
        <w:rPr>
          <w:rFonts w:eastAsia="標楷體" w:hint="eastAsia"/>
          <w:sz w:val="28"/>
          <w:szCs w:val="28"/>
        </w:rPr>
        <w:t>修正條文</w:t>
      </w:r>
      <w:r w:rsidR="00E80506" w:rsidRPr="001139B7">
        <w:rPr>
          <w:rFonts w:eastAsia="標楷體" w:hint="eastAsia"/>
          <w:sz w:val="28"/>
          <w:szCs w:val="28"/>
        </w:rPr>
        <w:t>第</w:t>
      </w:r>
      <w:r w:rsidR="00E80506">
        <w:rPr>
          <w:rFonts w:eastAsia="標楷體" w:hint="eastAsia"/>
          <w:sz w:val="28"/>
          <w:szCs w:val="28"/>
        </w:rPr>
        <w:t>八</w:t>
      </w:r>
      <w:r w:rsidR="00E80506" w:rsidRPr="001139B7">
        <w:rPr>
          <w:rFonts w:eastAsia="標楷體" w:hint="eastAsia"/>
          <w:sz w:val="28"/>
          <w:szCs w:val="28"/>
        </w:rPr>
        <w:t>條</w:t>
      </w:r>
      <w:r w:rsidR="00E80506" w:rsidRPr="001139B7">
        <w:rPr>
          <w:rFonts w:eastAsia="標楷體"/>
          <w:sz w:val="28"/>
          <w:szCs w:val="28"/>
        </w:rPr>
        <w:t>）</w:t>
      </w:r>
    </w:p>
    <w:p w:rsidR="00B74439" w:rsidRPr="007759E3" w:rsidRDefault="00D85C27" w:rsidP="00326446">
      <w:pPr>
        <w:pStyle w:val="a4"/>
        <w:jc w:val="both"/>
        <w:rPr>
          <w:rFonts w:eastAsia="標楷體" w:hint="eastAsia"/>
          <w:sz w:val="40"/>
          <w:szCs w:val="40"/>
        </w:rPr>
      </w:pPr>
      <w:r>
        <w:rPr>
          <w:rFonts w:eastAsia="標楷體"/>
          <w:sz w:val="28"/>
          <w:szCs w:val="28"/>
        </w:rPr>
        <w:br w:type="page"/>
      </w:r>
      <w:r w:rsidR="00F9674A" w:rsidRPr="007759E3">
        <w:rPr>
          <w:rFonts w:eastAsia="標楷體" w:hint="eastAsia"/>
          <w:sz w:val="40"/>
          <w:szCs w:val="40"/>
        </w:rPr>
        <w:lastRenderedPageBreak/>
        <w:t>預防接種受害救濟基金徵收及審議辦法</w:t>
      </w:r>
      <w:r w:rsidR="00D72023">
        <w:rPr>
          <w:rFonts w:eastAsia="標楷體" w:hint="eastAsia"/>
          <w:sz w:val="40"/>
          <w:szCs w:val="40"/>
        </w:rPr>
        <w:t>部分條文</w:t>
      </w:r>
      <w:r w:rsidR="00B74439" w:rsidRPr="007759E3">
        <w:rPr>
          <w:rFonts w:eastAsia="標楷體" w:hint="eastAsia"/>
          <w:sz w:val="40"/>
          <w:szCs w:val="40"/>
        </w:rPr>
        <w:t>修正</w:t>
      </w:r>
      <w:r w:rsidR="00D72023">
        <w:rPr>
          <w:rFonts w:eastAsia="標楷體" w:hint="eastAsia"/>
          <w:sz w:val="40"/>
          <w:szCs w:val="40"/>
        </w:rPr>
        <w:t>條文</w:t>
      </w:r>
      <w:r w:rsidR="00B74439" w:rsidRPr="007759E3">
        <w:rPr>
          <w:rFonts w:eastAsia="標楷體" w:hint="eastAsia"/>
          <w:sz w:val="40"/>
          <w:szCs w:val="40"/>
        </w:rPr>
        <w:t>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47"/>
        <w:gridCol w:w="2948"/>
        <w:gridCol w:w="2948"/>
      </w:tblGrid>
      <w:tr w:rsidR="00B74439" w:rsidRPr="00F808D5" w:rsidTr="00CA1408">
        <w:tblPrEx>
          <w:tblCellMar>
            <w:top w:w="0" w:type="dxa"/>
            <w:bottom w:w="0" w:type="dxa"/>
          </w:tblCellMar>
        </w:tblPrEx>
        <w:tc>
          <w:tcPr>
            <w:tcW w:w="2947" w:type="dxa"/>
          </w:tcPr>
          <w:p w:rsidR="00B74439" w:rsidRPr="00F808D5" w:rsidRDefault="00B74439" w:rsidP="00F808D5">
            <w:pPr>
              <w:ind w:rightChars="50" w:right="120"/>
              <w:jc w:val="center"/>
              <w:rPr>
                <w:rFonts w:eastAsia="標楷體"/>
              </w:rPr>
            </w:pPr>
            <w:r w:rsidRPr="00F808D5">
              <w:rPr>
                <w:rFonts w:eastAsia="標楷體"/>
              </w:rPr>
              <w:t>修正條文</w:t>
            </w:r>
          </w:p>
        </w:tc>
        <w:tc>
          <w:tcPr>
            <w:tcW w:w="2948" w:type="dxa"/>
          </w:tcPr>
          <w:p w:rsidR="00B74439" w:rsidRPr="00F808D5" w:rsidRDefault="00B74439" w:rsidP="00F808D5">
            <w:pPr>
              <w:ind w:rightChars="50" w:right="120"/>
              <w:jc w:val="center"/>
              <w:rPr>
                <w:rFonts w:eastAsia="標楷體"/>
              </w:rPr>
            </w:pPr>
            <w:r w:rsidRPr="00F808D5">
              <w:rPr>
                <w:rFonts w:eastAsia="標楷體"/>
              </w:rPr>
              <w:t>現行條文</w:t>
            </w:r>
          </w:p>
        </w:tc>
        <w:tc>
          <w:tcPr>
            <w:tcW w:w="2948" w:type="dxa"/>
          </w:tcPr>
          <w:p w:rsidR="00B74439" w:rsidRPr="00F808D5" w:rsidRDefault="00B74439" w:rsidP="00F808D5">
            <w:pPr>
              <w:pStyle w:val="a4"/>
              <w:ind w:leftChars="50" w:left="120" w:rightChars="50" w:right="120"/>
              <w:jc w:val="center"/>
              <w:rPr>
                <w:rFonts w:eastAsia="標楷體"/>
              </w:rPr>
            </w:pPr>
            <w:r w:rsidRPr="00F808D5">
              <w:rPr>
                <w:rFonts w:eastAsia="標楷體"/>
              </w:rPr>
              <w:t>說</w:t>
            </w:r>
            <w:r w:rsidRPr="00F808D5">
              <w:rPr>
                <w:rFonts w:eastAsia="標楷體"/>
              </w:rPr>
              <w:t xml:space="preserve">    </w:t>
            </w:r>
            <w:r w:rsidRPr="00F808D5">
              <w:rPr>
                <w:rFonts w:eastAsia="標楷體"/>
              </w:rPr>
              <w:t>明</w:t>
            </w:r>
          </w:p>
        </w:tc>
      </w:tr>
      <w:tr w:rsidR="003644A9" w:rsidRPr="00F808D5" w:rsidTr="00CA1408">
        <w:tblPrEx>
          <w:tblCellMar>
            <w:top w:w="0" w:type="dxa"/>
            <w:bottom w:w="0" w:type="dxa"/>
          </w:tblCellMar>
        </w:tblPrEx>
        <w:tc>
          <w:tcPr>
            <w:tcW w:w="2947" w:type="dxa"/>
          </w:tcPr>
          <w:p w:rsidR="00804D0E" w:rsidRPr="00F808D5" w:rsidRDefault="00804D0E" w:rsidP="00066046">
            <w:pPr>
              <w:ind w:left="240" w:rightChars="50" w:right="120" w:hangingChars="100" w:hanging="240"/>
              <w:rPr>
                <w:rFonts w:eastAsia="標楷體"/>
              </w:rPr>
            </w:pPr>
            <w:r w:rsidRPr="00F808D5">
              <w:rPr>
                <w:rFonts w:eastAsia="標楷體"/>
              </w:rPr>
              <w:t>第二條　本人或母體疑因預防接種而受害者，得依本辦法之規定請求救濟。</w:t>
            </w:r>
          </w:p>
          <w:p w:rsidR="00804D0E" w:rsidRPr="00F808D5" w:rsidRDefault="00804D0E" w:rsidP="00F808D5">
            <w:pPr>
              <w:ind w:leftChars="100" w:left="240" w:rightChars="50" w:right="120" w:firstLineChars="200" w:firstLine="480"/>
              <w:jc w:val="both"/>
              <w:rPr>
                <w:rFonts w:eastAsia="標楷體"/>
              </w:rPr>
            </w:pPr>
            <w:r w:rsidRPr="00F808D5">
              <w:rPr>
                <w:rFonts w:eastAsia="標楷體"/>
              </w:rPr>
              <w:t>前項預防接種之範圍，包括施打領有中央主管機關核發許可證或專案核准進口，並經</w:t>
            </w:r>
            <w:r w:rsidR="0035765D" w:rsidRPr="00F808D5">
              <w:rPr>
                <w:rFonts w:eastAsia="標楷體"/>
              </w:rPr>
              <w:t>檢驗</w:t>
            </w:r>
            <w:r w:rsidR="0035765D" w:rsidRPr="00F808D5">
              <w:rPr>
                <w:rFonts w:eastAsia="標楷體"/>
                <w:u w:val="single"/>
              </w:rPr>
              <w:t>或</w:t>
            </w:r>
            <w:r w:rsidRPr="00F808D5">
              <w:rPr>
                <w:rFonts w:eastAsia="標楷體"/>
                <w:u w:val="single"/>
              </w:rPr>
              <w:t>書面審查</w:t>
            </w:r>
            <w:r w:rsidRPr="00F808D5">
              <w:rPr>
                <w:rFonts w:eastAsia="標楷體"/>
              </w:rPr>
              <w:t>合格封緘之疫苗。</w:t>
            </w:r>
          </w:p>
        </w:tc>
        <w:tc>
          <w:tcPr>
            <w:tcW w:w="2948" w:type="dxa"/>
          </w:tcPr>
          <w:p w:rsidR="00804D0E" w:rsidRPr="00F808D5" w:rsidRDefault="00804D0E" w:rsidP="00066046">
            <w:pPr>
              <w:ind w:left="240" w:rightChars="50" w:right="120" w:hangingChars="100" w:hanging="240"/>
              <w:rPr>
                <w:rFonts w:eastAsia="標楷體"/>
              </w:rPr>
            </w:pPr>
            <w:r w:rsidRPr="00F808D5">
              <w:rPr>
                <w:rFonts w:eastAsia="標楷體"/>
              </w:rPr>
              <w:t>第二條　本人或母體疑因預防接種而受害者，得依本辦法之規定請求救濟。</w:t>
            </w:r>
          </w:p>
          <w:p w:rsidR="00804D0E" w:rsidRPr="00F808D5" w:rsidRDefault="00804D0E" w:rsidP="00F808D5">
            <w:pPr>
              <w:ind w:leftChars="100" w:left="240" w:rightChars="50" w:right="120" w:firstLineChars="200" w:firstLine="480"/>
              <w:jc w:val="both"/>
              <w:rPr>
                <w:rFonts w:eastAsia="標楷體"/>
              </w:rPr>
            </w:pPr>
            <w:r w:rsidRPr="00F808D5">
              <w:rPr>
                <w:rFonts w:eastAsia="標楷體"/>
              </w:rPr>
              <w:t>前項預防接種之範圍，包括施打領有中央主管機關核發許可證或專案核准進口，並經檢驗合格封緘之疫苗。</w:t>
            </w:r>
          </w:p>
        </w:tc>
        <w:tc>
          <w:tcPr>
            <w:tcW w:w="2948" w:type="dxa"/>
          </w:tcPr>
          <w:p w:rsidR="00AB7111" w:rsidRDefault="00AB7111" w:rsidP="00AB7111">
            <w:pPr>
              <w:numPr>
                <w:ilvl w:val="0"/>
                <w:numId w:val="9"/>
              </w:numPr>
              <w:ind w:leftChars="50" w:left="687" w:rightChars="50" w:right="120" w:hanging="567"/>
              <w:jc w:val="both"/>
              <w:rPr>
                <w:rFonts w:eastAsia="標楷體" w:hint="eastAsia"/>
              </w:rPr>
            </w:pPr>
            <w:r w:rsidRPr="00AB7111">
              <w:rPr>
                <w:rFonts w:eastAsia="標楷體" w:hint="eastAsia"/>
              </w:rPr>
              <w:t>第一項未修正。</w:t>
            </w:r>
          </w:p>
          <w:p w:rsidR="004C51CA" w:rsidRPr="00F808D5" w:rsidRDefault="003135DC" w:rsidP="004329D3">
            <w:pPr>
              <w:numPr>
                <w:ilvl w:val="0"/>
                <w:numId w:val="9"/>
              </w:numPr>
              <w:ind w:leftChars="50" w:left="687" w:rightChars="50" w:right="120" w:hanging="567"/>
              <w:jc w:val="both"/>
              <w:rPr>
                <w:rFonts w:eastAsia="標楷體"/>
              </w:rPr>
            </w:pPr>
            <w:r w:rsidRPr="00F808D5">
              <w:rPr>
                <w:rFonts w:eastAsia="標楷體"/>
              </w:rPr>
              <w:t>按</w:t>
            </w:r>
            <w:r w:rsidR="00D5459C" w:rsidRPr="00F808D5">
              <w:rPr>
                <w:rFonts w:eastAsia="標楷體"/>
              </w:rPr>
              <w:t>依本法第五十一條規定，中央主管機關於傳染病發生或有發生之虞時，得緊急專案採購疫苗，免依藥事法有關規定辦理查驗登記手續。</w:t>
            </w:r>
            <w:r w:rsidR="00FA2519" w:rsidRPr="00F808D5">
              <w:rPr>
                <w:rFonts w:eastAsia="標楷體"/>
              </w:rPr>
              <w:t>基於特別犧牲補償之概念，</w:t>
            </w:r>
            <w:r w:rsidR="00D5459C" w:rsidRPr="00F808D5">
              <w:rPr>
                <w:rFonts w:eastAsia="標楷體"/>
              </w:rPr>
              <w:t>民眾配合防疫政策</w:t>
            </w:r>
            <w:r w:rsidR="00FA2519" w:rsidRPr="00F808D5">
              <w:rPr>
                <w:rFonts w:eastAsia="標楷體"/>
              </w:rPr>
              <w:t>，</w:t>
            </w:r>
            <w:r w:rsidR="00D5459C" w:rsidRPr="00F808D5">
              <w:rPr>
                <w:rFonts w:eastAsia="標楷體"/>
              </w:rPr>
              <w:t>接種</w:t>
            </w:r>
            <w:r w:rsidR="00FB2318" w:rsidRPr="00F808D5">
              <w:rPr>
                <w:rFonts w:eastAsia="標楷體"/>
              </w:rPr>
              <w:t>政府</w:t>
            </w:r>
            <w:r w:rsidR="00D5459C" w:rsidRPr="00F808D5">
              <w:rPr>
                <w:rFonts w:eastAsia="標楷體"/>
              </w:rPr>
              <w:t>專案</w:t>
            </w:r>
            <w:r w:rsidRPr="00F808D5">
              <w:rPr>
                <w:rFonts w:eastAsia="標楷體"/>
              </w:rPr>
              <w:t>核准進口</w:t>
            </w:r>
            <w:r w:rsidR="00FA2519" w:rsidRPr="00F808D5">
              <w:rPr>
                <w:rFonts w:eastAsia="標楷體"/>
              </w:rPr>
              <w:t>並以</w:t>
            </w:r>
            <w:r w:rsidRPr="00F808D5">
              <w:rPr>
                <w:rFonts w:eastAsia="標楷體"/>
              </w:rPr>
              <w:t>書面審查合格封緘之</w:t>
            </w:r>
            <w:r w:rsidR="00D5459C" w:rsidRPr="00F808D5">
              <w:rPr>
                <w:rFonts w:eastAsia="標楷體"/>
              </w:rPr>
              <w:t>疫苗</w:t>
            </w:r>
            <w:r w:rsidR="00FB2318" w:rsidRPr="00F808D5">
              <w:rPr>
                <w:rFonts w:eastAsia="標楷體"/>
              </w:rPr>
              <w:t>時</w:t>
            </w:r>
            <w:r w:rsidR="00D5459C" w:rsidRPr="00F808D5">
              <w:rPr>
                <w:rFonts w:eastAsia="標楷體"/>
              </w:rPr>
              <w:t>，</w:t>
            </w:r>
            <w:r w:rsidR="00FA2519" w:rsidRPr="00F808D5">
              <w:rPr>
                <w:rFonts w:eastAsia="標楷體"/>
              </w:rPr>
              <w:t>就疑似預防接種受害之情形，自</w:t>
            </w:r>
            <w:r w:rsidR="00D5459C" w:rsidRPr="00F808D5">
              <w:rPr>
                <w:rFonts w:eastAsia="標楷體"/>
              </w:rPr>
              <w:t>應</w:t>
            </w:r>
            <w:r w:rsidR="00FA2519" w:rsidRPr="00F808D5">
              <w:rPr>
                <w:rFonts w:eastAsia="標楷體"/>
              </w:rPr>
              <w:t>允其比照經檢驗合格封緘之疫苗，請求</w:t>
            </w:r>
            <w:r w:rsidR="00D5459C" w:rsidRPr="00F808D5">
              <w:rPr>
                <w:rFonts w:eastAsia="標楷體"/>
              </w:rPr>
              <w:t>救濟，爰</w:t>
            </w:r>
            <w:r w:rsidR="00FA2519" w:rsidRPr="00F808D5">
              <w:rPr>
                <w:rFonts w:eastAsia="標楷體"/>
              </w:rPr>
              <w:t>將</w:t>
            </w:r>
            <w:r w:rsidR="00D5459C" w:rsidRPr="00F808D5">
              <w:rPr>
                <w:rFonts w:eastAsia="標楷體"/>
              </w:rPr>
              <w:t>第二項</w:t>
            </w:r>
            <w:r w:rsidR="00FA2519" w:rsidRPr="00F808D5">
              <w:rPr>
                <w:rFonts w:eastAsia="標楷體"/>
              </w:rPr>
              <w:t>預防接種之範圍規定，酌予修正</w:t>
            </w:r>
            <w:r w:rsidR="00D5459C" w:rsidRPr="00F808D5">
              <w:rPr>
                <w:rFonts w:eastAsia="標楷體"/>
              </w:rPr>
              <w:t>。</w:t>
            </w:r>
          </w:p>
        </w:tc>
      </w:tr>
      <w:tr w:rsidR="003644A9" w:rsidRPr="00F808D5" w:rsidTr="00CA1408">
        <w:tblPrEx>
          <w:tblCellMar>
            <w:top w:w="0" w:type="dxa"/>
            <w:bottom w:w="0" w:type="dxa"/>
          </w:tblCellMar>
        </w:tblPrEx>
        <w:tc>
          <w:tcPr>
            <w:tcW w:w="2947" w:type="dxa"/>
          </w:tcPr>
          <w:p w:rsidR="00D5459C" w:rsidRPr="00F808D5" w:rsidRDefault="00D5459C" w:rsidP="00F808D5">
            <w:pPr>
              <w:ind w:left="240" w:rightChars="50" w:right="120" w:hangingChars="100" w:hanging="240"/>
              <w:jc w:val="both"/>
              <w:rPr>
                <w:rFonts w:eastAsia="標楷體"/>
              </w:rPr>
            </w:pPr>
            <w:r w:rsidRPr="00F808D5">
              <w:rPr>
                <w:rFonts w:eastAsia="標楷體"/>
              </w:rPr>
              <w:t>第二條之一　疫苗製造或輸入廠商應繳納一定金額，充作預防接種受害救濟基金，每一人劑疫苗，徵收新臺幣一點五元。但基金總額未達新臺幣一億五千萬元或逾新臺幣二億元時，中央主管機關得依基金收支運用情形調整之。</w:t>
            </w:r>
          </w:p>
          <w:p w:rsidR="00D5459C" w:rsidRPr="00F808D5" w:rsidRDefault="00D5459C" w:rsidP="00F808D5">
            <w:pPr>
              <w:ind w:leftChars="100" w:left="240" w:rightChars="50" w:right="120" w:firstLineChars="200" w:firstLine="480"/>
              <w:jc w:val="both"/>
              <w:rPr>
                <w:rFonts w:eastAsia="標楷體"/>
              </w:rPr>
            </w:pPr>
            <w:r w:rsidRPr="00F808D5">
              <w:rPr>
                <w:rFonts w:eastAsia="標楷體"/>
              </w:rPr>
              <w:t>前項基金之徵收基準如下：</w:t>
            </w:r>
          </w:p>
          <w:p w:rsidR="00D5459C" w:rsidRPr="00F808D5" w:rsidRDefault="00D5459C" w:rsidP="00066046">
            <w:pPr>
              <w:ind w:leftChars="100" w:left="720" w:rightChars="50" w:right="120" w:hangingChars="200" w:hanging="480"/>
              <w:jc w:val="both"/>
              <w:rPr>
                <w:rFonts w:eastAsia="標楷體"/>
              </w:rPr>
            </w:pPr>
            <w:r w:rsidRPr="00F808D5">
              <w:rPr>
                <w:rFonts w:eastAsia="標楷體"/>
              </w:rPr>
              <w:lastRenderedPageBreak/>
              <w:t>一、依疫苗檢驗合格封緘之劑數，按劑計算。</w:t>
            </w:r>
          </w:p>
          <w:p w:rsidR="00D5459C" w:rsidRPr="00F808D5" w:rsidRDefault="00D5459C" w:rsidP="00066046">
            <w:pPr>
              <w:ind w:leftChars="100" w:left="720" w:rightChars="50" w:right="120" w:hangingChars="200" w:hanging="480"/>
              <w:jc w:val="both"/>
              <w:rPr>
                <w:rFonts w:eastAsia="標楷體"/>
              </w:rPr>
            </w:pPr>
            <w:r w:rsidRPr="00F808D5">
              <w:rPr>
                <w:rFonts w:eastAsia="標楷體"/>
              </w:rPr>
              <w:t>二、依本法第五十一條規定緊急專案採購之疫苗，以其製造或輸入之劑數按劑計算。</w:t>
            </w:r>
          </w:p>
          <w:p w:rsidR="00D5459C" w:rsidRPr="00F808D5" w:rsidRDefault="00D5459C" w:rsidP="00F808D5">
            <w:pPr>
              <w:ind w:leftChars="100" w:left="240" w:rightChars="50" w:right="120" w:firstLineChars="200" w:firstLine="480"/>
              <w:jc w:val="both"/>
              <w:rPr>
                <w:rFonts w:eastAsia="標楷體"/>
              </w:rPr>
            </w:pPr>
            <w:r w:rsidRPr="00F808D5">
              <w:rPr>
                <w:rFonts w:eastAsia="標楷體"/>
              </w:rPr>
              <w:t>疫苗製造或輸入廠商應於中央主管機關核發疫苗檢驗合格封緘證明</w:t>
            </w:r>
            <w:r w:rsidR="003D32A7" w:rsidRPr="00F808D5">
              <w:rPr>
                <w:rFonts w:eastAsia="標楷體"/>
                <w:u w:val="single"/>
              </w:rPr>
              <w:t>、</w:t>
            </w:r>
            <w:r w:rsidRPr="00F808D5">
              <w:rPr>
                <w:rFonts w:eastAsia="標楷體"/>
              </w:rPr>
              <w:t>檢驗</w:t>
            </w:r>
            <w:r w:rsidR="0035765D" w:rsidRPr="00F808D5">
              <w:rPr>
                <w:rFonts w:eastAsia="標楷體"/>
                <w:u w:val="single"/>
              </w:rPr>
              <w:t>或書面審查</w:t>
            </w:r>
            <w:r w:rsidRPr="00F808D5">
              <w:rPr>
                <w:rFonts w:eastAsia="標楷體"/>
              </w:rPr>
              <w:t>報告書之次日起三十日內，繳納徵收金至預防接種受害救濟基金。</w:t>
            </w:r>
          </w:p>
          <w:p w:rsidR="00D5459C" w:rsidRPr="00F808D5" w:rsidRDefault="00D5459C" w:rsidP="00F808D5">
            <w:pPr>
              <w:ind w:leftChars="100" w:left="240" w:rightChars="50" w:right="120" w:firstLineChars="200" w:firstLine="480"/>
              <w:jc w:val="both"/>
              <w:rPr>
                <w:rFonts w:eastAsia="標楷體"/>
              </w:rPr>
            </w:pPr>
            <w:r w:rsidRPr="00F808D5">
              <w:rPr>
                <w:rFonts w:eastAsia="標楷體"/>
              </w:rPr>
              <w:t>疫苗製造或輸入廠商逾期繳納徵收金者，應自繳納期限屆滿之次日起，每逾二日按滯納金額加徵百分之一滯納金；逾三十日仍未繳納者，移送強制執行。</w:t>
            </w:r>
          </w:p>
          <w:p w:rsidR="00D5459C" w:rsidRPr="00F808D5" w:rsidRDefault="00D5459C" w:rsidP="00F808D5">
            <w:pPr>
              <w:ind w:leftChars="100" w:left="240" w:rightChars="50" w:right="120" w:firstLineChars="200" w:firstLine="480"/>
              <w:jc w:val="both"/>
              <w:rPr>
                <w:rFonts w:eastAsia="標楷體"/>
              </w:rPr>
            </w:pPr>
            <w:r w:rsidRPr="00F808D5">
              <w:rPr>
                <w:rFonts w:eastAsia="標楷體"/>
              </w:rPr>
              <w:t>第一項徵收金之免徵範圍如下：</w:t>
            </w:r>
          </w:p>
          <w:p w:rsidR="00D5459C" w:rsidRPr="00F808D5" w:rsidRDefault="00D5459C" w:rsidP="007354F0">
            <w:pPr>
              <w:ind w:leftChars="100" w:left="720" w:rightChars="20" w:right="48" w:hangingChars="200" w:hanging="480"/>
              <w:jc w:val="both"/>
              <w:rPr>
                <w:rFonts w:eastAsia="標楷體"/>
              </w:rPr>
            </w:pPr>
            <w:r w:rsidRPr="00F808D5">
              <w:rPr>
                <w:rFonts w:eastAsia="標楷體"/>
              </w:rPr>
              <w:t>一、製造供輸出之疫苗。</w:t>
            </w:r>
          </w:p>
          <w:p w:rsidR="00D5459C" w:rsidRPr="00F808D5" w:rsidRDefault="00D5459C" w:rsidP="005540F2">
            <w:pPr>
              <w:ind w:leftChars="100" w:left="720" w:rightChars="20" w:right="48" w:hangingChars="200" w:hanging="480"/>
              <w:jc w:val="both"/>
              <w:rPr>
                <w:rFonts w:eastAsia="標楷體"/>
              </w:rPr>
            </w:pPr>
            <w:r w:rsidRPr="00F808D5">
              <w:rPr>
                <w:rFonts w:eastAsia="標楷體"/>
              </w:rPr>
              <w:t>二、由主管機關專案採購以援助外國之疫苗。</w:t>
            </w:r>
          </w:p>
          <w:p w:rsidR="00804D0E" w:rsidRPr="00F808D5" w:rsidRDefault="00D5459C" w:rsidP="005540F2">
            <w:pPr>
              <w:ind w:leftChars="100" w:left="720" w:rightChars="20" w:right="48" w:hangingChars="200" w:hanging="480"/>
              <w:jc w:val="both"/>
              <w:rPr>
                <w:rFonts w:eastAsia="標楷體"/>
              </w:rPr>
            </w:pPr>
            <w:r w:rsidRPr="00F808D5">
              <w:rPr>
                <w:rFonts w:eastAsia="標楷體"/>
              </w:rPr>
              <w:t>三、其他專案申請中央主管機關核准免徵之疫苗。</w:t>
            </w:r>
          </w:p>
        </w:tc>
        <w:tc>
          <w:tcPr>
            <w:tcW w:w="2948" w:type="dxa"/>
          </w:tcPr>
          <w:p w:rsidR="00804D0E" w:rsidRPr="00F808D5" w:rsidRDefault="00804D0E" w:rsidP="00F808D5">
            <w:pPr>
              <w:ind w:left="240" w:rightChars="50" w:right="120" w:hangingChars="100" w:hanging="240"/>
              <w:jc w:val="both"/>
              <w:rPr>
                <w:rFonts w:eastAsia="標楷體"/>
              </w:rPr>
            </w:pPr>
            <w:r w:rsidRPr="00F808D5">
              <w:rPr>
                <w:rFonts w:eastAsia="標楷體"/>
              </w:rPr>
              <w:lastRenderedPageBreak/>
              <w:t>第二條之一　疫苗製造或輸入廠商應繳納一定金額，充作預防接種受害救濟基金，每一人劑疫苗，徵收新臺幣一點五元。但基金總額未達新臺幣一億五千萬元或逾新臺幣二億元時，中央</w:t>
            </w:r>
            <w:r w:rsidRPr="008533FA">
              <w:rPr>
                <w:rFonts w:eastAsia="標楷體"/>
                <w:u w:val="single"/>
              </w:rPr>
              <w:t>衛生</w:t>
            </w:r>
            <w:r w:rsidRPr="00F808D5">
              <w:rPr>
                <w:rFonts w:eastAsia="標楷體"/>
              </w:rPr>
              <w:t>主管機關得依基金收支運用情形調整之。</w:t>
            </w:r>
          </w:p>
          <w:p w:rsidR="00804D0E" w:rsidRPr="00F808D5" w:rsidRDefault="00804D0E" w:rsidP="00F808D5">
            <w:pPr>
              <w:ind w:leftChars="100" w:left="240" w:rightChars="50" w:right="120" w:firstLineChars="200" w:firstLine="480"/>
              <w:jc w:val="both"/>
              <w:rPr>
                <w:rFonts w:eastAsia="標楷體"/>
              </w:rPr>
            </w:pPr>
            <w:r w:rsidRPr="00F808D5">
              <w:rPr>
                <w:rFonts w:eastAsia="標楷體"/>
              </w:rPr>
              <w:t>前項基金之徵收基準如下：</w:t>
            </w:r>
          </w:p>
          <w:p w:rsidR="00804D0E" w:rsidRPr="00F808D5" w:rsidRDefault="00804D0E" w:rsidP="00ED0123">
            <w:pPr>
              <w:ind w:leftChars="100" w:left="720" w:rightChars="20" w:right="48" w:hangingChars="200" w:hanging="480"/>
              <w:jc w:val="both"/>
              <w:rPr>
                <w:rFonts w:eastAsia="標楷體"/>
              </w:rPr>
            </w:pPr>
            <w:r w:rsidRPr="00F808D5">
              <w:rPr>
                <w:rFonts w:eastAsia="標楷體"/>
              </w:rPr>
              <w:lastRenderedPageBreak/>
              <w:t>一、依疫苗檢驗合格封緘之劑數，按劑計算。</w:t>
            </w:r>
          </w:p>
          <w:p w:rsidR="00804D0E" w:rsidRPr="00F808D5" w:rsidRDefault="00804D0E" w:rsidP="00ED0123">
            <w:pPr>
              <w:ind w:leftChars="100" w:left="720" w:rightChars="20" w:right="48" w:hangingChars="200" w:hanging="480"/>
              <w:jc w:val="both"/>
              <w:rPr>
                <w:rFonts w:eastAsia="標楷體"/>
              </w:rPr>
            </w:pPr>
            <w:r w:rsidRPr="00F808D5">
              <w:rPr>
                <w:rFonts w:eastAsia="標楷體"/>
              </w:rPr>
              <w:t>二、依本法第五十一條規定緊急專案採購之疫苗，以其製造或輸入之劑數按劑計算。</w:t>
            </w:r>
          </w:p>
          <w:p w:rsidR="00804D0E" w:rsidRPr="00F808D5" w:rsidRDefault="00804D0E" w:rsidP="00F808D5">
            <w:pPr>
              <w:ind w:leftChars="100" w:left="240" w:rightChars="50" w:right="120" w:firstLineChars="200" w:firstLine="480"/>
              <w:jc w:val="both"/>
              <w:rPr>
                <w:rFonts w:eastAsia="標楷體"/>
              </w:rPr>
            </w:pPr>
            <w:r w:rsidRPr="00F808D5">
              <w:rPr>
                <w:rFonts w:eastAsia="標楷體"/>
              </w:rPr>
              <w:t>疫苗製造或輸入廠商應於中央</w:t>
            </w:r>
            <w:r w:rsidRPr="008533FA">
              <w:rPr>
                <w:rFonts w:eastAsia="標楷體"/>
                <w:u w:val="single"/>
              </w:rPr>
              <w:t>衛生</w:t>
            </w:r>
            <w:r w:rsidRPr="00F808D5">
              <w:rPr>
                <w:rFonts w:eastAsia="標楷體"/>
              </w:rPr>
              <w:t>主管機關核發疫苗檢驗合格封緘證明或檢驗報告書之次日起三十日內，繳納徵收金至預防接種受害救濟基金。</w:t>
            </w:r>
          </w:p>
          <w:p w:rsidR="00804D0E" w:rsidRPr="00F808D5" w:rsidRDefault="00804D0E" w:rsidP="00F808D5">
            <w:pPr>
              <w:ind w:leftChars="100" w:left="240" w:rightChars="50" w:right="120" w:firstLineChars="200" w:firstLine="480"/>
              <w:jc w:val="both"/>
              <w:rPr>
                <w:rFonts w:eastAsia="標楷體"/>
              </w:rPr>
            </w:pPr>
            <w:r w:rsidRPr="00F808D5">
              <w:rPr>
                <w:rFonts w:eastAsia="標楷體"/>
              </w:rPr>
              <w:t>疫苗製造或輸入廠商逾期繳納徵收金者，應自繳納期限屆滿之次日起，每逾二日按滯納金額加徵百分之一滯納金；逾三十日仍未繳納者，移送強制執行。</w:t>
            </w:r>
          </w:p>
          <w:p w:rsidR="00804D0E" w:rsidRPr="00F808D5" w:rsidRDefault="00804D0E" w:rsidP="00F808D5">
            <w:pPr>
              <w:ind w:leftChars="100" w:left="240" w:rightChars="50" w:right="120" w:firstLineChars="200" w:firstLine="480"/>
              <w:jc w:val="both"/>
              <w:rPr>
                <w:rFonts w:eastAsia="標楷體"/>
              </w:rPr>
            </w:pPr>
            <w:r w:rsidRPr="00F808D5">
              <w:rPr>
                <w:rFonts w:eastAsia="標楷體"/>
              </w:rPr>
              <w:t>第一項徵收金之免徵範圍如下：</w:t>
            </w:r>
          </w:p>
          <w:p w:rsidR="00804D0E" w:rsidRPr="00F808D5" w:rsidRDefault="00804D0E" w:rsidP="00ED0123">
            <w:pPr>
              <w:ind w:leftChars="100" w:left="720" w:rightChars="20" w:right="48" w:hangingChars="200" w:hanging="480"/>
              <w:jc w:val="both"/>
              <w:rPr>
                <w:rFonts w:eastAsia="標楷體"/>
              </w:rPr>
            </w:pPr>
            <w:r w:rsidRPr="00F808D5">
              <w:rPr>
                <w:rFonts w:eastAsia="標楷體"/>
              </w:rPr>
              <w:t>一、製造供輸出之疫苗。</w:t>
            </w:r>
          </w:p>
          <w:p w:rsidR="00804D0E" w:rsidRPr="00F808D5" w:rsidRDefault="00804D0E" w:rsidP="00ED0123">
            <w:pPr>
              <w:ind w:leftChars="100" w:left="720" w:rightChars="20" w:right="48" w:hangingChars="200" w:hanging="480"/>
              <w:jc w:val="both"/>
              <w:rPr>
                <w:rFonts w:eastAsia="標楷體"/>
              </w:rPr>
            </w:pPr>
            <w:r w:rsidRPr="00F808D5">
              <w:rPr>
                <w:rFonts w:eastAsia="標楷體"/>
              </w:rPr>
              <w:t>二、由主管機關專案採購以援助外國之疫苗。</w:t>
            </w:r>
          </w:p>
          <w:p w:rsidR="004C51CA" w:rsidRPr="00F808D5" w:rsidRDefault="00804D0E" w:rsidP="004329D3">
            <w:pPr>
              <w:ind w:leftChars="100" w:left="720" w:rightChars="20" w:right="48" w:hangingChars="200" w:hanging="480"/>
              <w:jc w:val="both"/>
              <w:rPr>
                <w:rFonts w:eastAsia="標楷體" w:hint="eastAsia"/>
              </w:rPr>
            </w:pPr>
            <w:r w:rsidRPr="00F808D5">
              <w:rPr>
                <w:rFonts w:eastAsia="標楷體"/>
              </w:rPr>
              <w:t>三、其他專案申請中央</w:t>
            </w:r>
            <w:r w:rsidRPr="00075460">
              <w:rPr>
                <w:rFonts w:eastAsia="標楷體"/>
                <w:u w:val="single"/>
              </w:rPr>
              <w:t>衛生</w:t>
            </w:r>
            <w:r w:rsidRPr="00F808D5">
              <w:rPr>
                <w:rFonts w:eastAsia="標楷體"/>
              </w:rPr>
              <w:t>主管機關核准免徵之疫苗。</w:t>
            </w:r>
          </w:p>
        </w:tc>
        <w:tc>
          <w:tcPr>
            <w:tcW w:w="2948" w:type="dxa"/>
          </w:tcPr>
          <w:p w:rsidR="008533FA" w:rsidRDefault="00F3413A" w:rsidP="00AB7111">
            <w:pPr>
              <w:numPr>
                <w:ilvl w:val="0"/>
                <w:numId w:val="13"/>
              </w:numPr>
              <w:ind w:left="626" w:rightChars="50" w:right="120" w:hanging="567"/>
              <w:jc w:val="both"/>
              <w:rPr>
                <w:rFonts w:eastAsia="標楷體" w:hint="eastAsia"/>
              </w:rPr>
            </w:pPr>
            <w:r>
              <w:rPr>
                <w:rFonts w:eastAsia="標楷體" w:hint="eastAsia"/>
              </w:rPr>
              <w:lastRenderedPageBreak/>
              <w:t>修正</w:t>
            </w:r>
            <w:r w:rsidR="00AB7111" w:rsidRPr="00AB7111">
              <w:rPr>
                <w:rFonts w:eastAsia="標楷體" w:hint="eastAsia"/>
              </w:rPr>
              <w:t>第一項</w:t>
            </w:r>
            <w:r w:rsidR="00FD2773" w:rsidRPr="00AB7111">
              <w:rPr>
                <w:rFonts w:eastAsia="標楷體" w:hint="eastAsia"/>
              </w:rPr>
              <w:t>及第五項</w:t>
            </w:r>
            <w:r>
              <w:rPr>
                <w:rFonts w:eastAsia="標楷體" w:hint="eastAsia"/>
              </w:rPr>
              <w:t>所稱「中央衛生主管機關」為</w:t>
            </w:r>
            <w:r w:rsidR="00CC408C">
              <w:rPr>
                <w:rFonts w:eastAsia="標楷體" w:hint="eastAsia"/>
              </w:rPr>
              <w:t>「中央主管機關」</w:t>
            </w:r>
            <w:r w:rsidR="008533FA">
              <w:rPr>
                <w:rFonts w:eastAsia="標楷體" w:hint="eastAsia"/>
              </w:rPr>
              <w:t>。</w:t>
            </w:r>
          </w:p>
          <w:p w:rsidR="00AB7111" w:rsidRDefault="00AB7111" w:rsidP="00AB7111">
            <w:pPr>
              <w:numPr>
                <w:ilvl w:val="0"/>
                <w:numId w:val="13"/>
              </w:numPr>
              <w:ind w:left="626" w:rightChars="50" w:right="120" w:hanging="567"/>
              <w:jc w:val="both"/>
              <w:rPr>
                <w:rFonts w:eastAsia="標楷體" w:hint="eastAsia"/>
              </w:rPr>
            </w:pPr>
            <w:r w:rsidRPr="00AB7111">
              <w:rPr>
                <w:rFonts w:eastAsia="標楷體" w:hint="eastAsia"/>
              </w:rPr>
              <w:t>第二項</w:t>
            </w:r>
            <w:r w:rsidR="00FD2773">
              <w:rPr>
                <w:rFonts w:eastAsia="標楷體" w:hint="eastAsia"/>
              </w:rPr>
              <w:t>及</w:t>
            </w:r>
            <w:r w:rsidRPr="00AB7111">
              <w:rPr>
                <w:rFonts w:eastAsia="標楷體" w:hint="eastAsia"/>
              </w:rPr>
              <w:t>第四項未修正。</w:t>
            </w:r>
          </w:p>
          <w:p w:rsidR="00804D0E" w:rsidRPr="00F808D5" w:rsidRDefault="00AB7111" w:rsidP="00AB7111">
            <w:pPr>
              <w:numPr>
                <w:ilvl w:val="0"/>
                <w:numId w:val="13"/>
              </w:numPr>
              <w:ind w:left="626" w:rightChars="50" w:right="120" w:hanging="567"/>
              <w:jc w:val="both"/>
              <w:rPr>
                <w:rFonts w:eastAsia="標楷體"/>
              </w:rPr>
            </w:pPr>
            <w:r>
              <w:rPr>
                <w:rFonts w:ascii="標楷體" w:eastAsia="標楷體" w:hAnsi="標楷體" w:hint="eastAsia"/>
              </w:rPr>
              <w:t>第三項之</w:t>
            </w:r>
            <w:r w:rsidRPr="003644A9">
              <w:rPr>
                <w:rFonts w:ascii="標楷體" w:eastAsia="標楷體" w:hAnsi="標楷體" w:hint="eastAsia"/>
              </w:rPr>
              <w:t>修正理由</w:t>
            </w:r>
            <w:r w:rsidR="00124F50" w:rsidRPr="00F808D5">
              <w:rPr>
                <w:rFonts w:eastAsia="標楷體"/>
              </w:rPr>
              <w:t>同</w:t>
            </w:r>
            <w:r w:rsidR="00F3413A">
              <w:rPr>
                <w:rFonts w:eastAsia="標楷體" w:hint="eastAsia"/>
              </w:rPr>
              <w:t>第二</w:t>
            </w:r>
            <w:r w:rsidR="00124F50" w:rsidRPr="00F808D5">
              <w:rPr>
                <w:rFonts w:eastAsia="標楷體"/>
              </w:rPr>
              <w:t>條修正理由，為將</w:t>
            </w:r>
            <w:r w:rsidR="00D5459C" w:rsidRPr="00F808D5">
              <w:rPr>
                <w:rFonts w:eastAsia="標楷體"/>
              </w:rPr>
              <w:t>接種專案進口</w:t>
            </w:r>
            <w:r w:rsidR="006A43CE" w:rsidRPr="00F808D5">
              <w:rPr>
                <w:rFonts w:eastAsia="標楷體"/>
              </w:rPr>
              <w:t>並</w:t>
            </w:r>
            <w:r w:rsidR="003135DC" w:rsidRPr="00F808D5">
              <w:rPr>
                <w:rFonts w:eastAsia="標楷體"/>
              </w:rPr>
              <w:t>經書面審查合格封緘</w:t>
            </w:r>
            <w:r w:rsidR="00D5459C" w:rsidRPr="00F808D5">
              <w:rPr>
                <w:rFonts w:eastAsia="標楷體"/>
              </w:rPr>
              <w:t>疫苗，納入受害救濟之</w:t>
            </w:r>
            <w:r w:rsidR="006A43CE" w:rsidRPr="00F808D5">
              <w:rPr>
                <w:rFonts w:eastAsia="標楷體"/>
              </w:rPr>
              <w:t>請求</w:t>
            </w:r>
            <w:r w:rsidR="00D5459C" w:rsidRPr="00F808D5">
              <w:rPr>
                <w:rFonts w:eastAsia="標楷體"/>
              </w:rPr>
              <w:t>範</w:t>
            </w:r>
            <w:r w:rsidR="00D5459C" w:rsidRPr="00F808D5">
              <w:rPr>
                <w:rFonts w:eastAsia="標楷體"/>
              </w:rPr>
              <w:lastRenderedPageBreak/>
              <w:t>圍，爰修正第</w:t>
            </w:r>
            <w:r w:rsidR="00124F50" w:rsidRPr="00F808D5">
              <w:rPr>
                <w:rFonts w:eastAsia="標楷體"/>
              </w:rPr>
              <w:t>三</w:t>
            </w:r>
            <w:r w:rsidR="00D5459C" w:rsidRPr="00F808D5">
              <w:rPr>
                <w:rFonts w:eastAsia="標楷體"/>
              </w:rPr>
              <w:t>項規定。</w:t>
            </w:r>
          </w:p>
        </w:tc>
      </w:tr>
      <w:tr w:rsidR="00075460" w:rsidRPr="00F808D5" w:rsidTr="00CA1408">
        <w:tblPrEx>
          <w:tblCellMar>
            <w:top w:w="0" w:type="dxa"/>
            <w:bottom w:w="0" w:type="dxa"/>
          </w:tblCellMar>
        </w:tblPrEx>
        <w:tc>
          <w:tcPr>
            <w:tcW w:w="2947" w:type="dxa"/>
          </w:tcPr>
          <w:p w:rsidR="00075460" w:rsidRPr="00075460" w:rsidRDefault="002E14B0" w:rsidP="00075460">
            <w:pPr>
              <w:ind w:left="240" w:rightChars="50" w:right="120" w:hangingChars="100" w:hanging="240"/>
              <w:jc w:val="both"/>
              <w:rPr>
                <w:rFonts w:eastAsia="標楷體" w:hint="eastAsia"/>
              </w:rPr>
            </w:pPr>
            <w:r>
              <w:rPr>
                <w:rFonts w:eastAsia="標楷體" w:hint="eastAsia"/>
              </w:rPr>
              <w:lastRenderedPageBreak/>
              <w:t xml:space="preserve">第二條之二　</w:t>
            </w:r>
            <w:r w:rsidR="00075460" w:rsidRPr="00075460">
              <w:rPr>
                <w:rFonts w:eastAsia="標楷體" w:hint="eastAsia"/>
              </w:rPr>
              <w:t>中央主管機關為辦理預防接種受害救濟業務，得委任或委託其他機關</w:t>
            </w:r>
            <w:r w:rsidR="00075460" w:rsidRPr="00075460">
              <w:rPr>
                <w:rFonts w:eastAsia="標楷體" w:hint="eastAsia"/>
              </w:rPr>
              <w:t>(</w:t>
            </w:r>
            <w:r w:rsidR="00075460" w:rsidRPr="00075460">
              <w:rPr>
                <w:rFonts w:eastAsia="標楷體" w:hint="eastAsia"/>
              </w:rPr>
              <w:t>構</w:t>
            </w:r>
            <w:r w:rsidR="00075460" w:rsidRPr="00075460">
              <w:rPr>
                <w:rFonts w:eastAsia="標楷體" w:hint="eastAsia"/>
              </w:rPr>
              <w:t>)</w:t>
            </w:r>
            <w:r w:rsidR="00075460" w:rsidRPr="00075460">
              <w:rPr>
                <w:rFonts w:eastAsia="標楷體" w:hint="eastAsia"/>
              </w:rPr>
              <w:t>、團體辦理下列事項：</w:t>
            </w:r>
          </w:p>
          <w:p w:rsidR="00075460" w:rsidRPr="00075460" w:rsidRDefault="00075460" w:rsidP="007354F0">
            <w:pPr>
              <w:ind w:leftChars="100" w:left="720" w:rightChars="20" w:right="48" w:hangingChars="200" w:hanging="480"/>
              <w:jc w:val="both"/>
              <w:rPr>
                <w:rFonts w:eastAsia="標楷體" w:hint="eastAsia"/>
              </w:rPr>
            </w:pPr>
            <w:r w:rsidRPr="00075460">
              <w:rPr>
                <w:rFonts w:eastAsia="標楷體" w:hint="eastAsia"/>
              </w:rPr>
              <w:t>一、預防接種受害救濟業務之審議準備及結果通知等工作。</w:t>
            </w:r>
          </w:p>
          <w:p w:rsidR="00075460" w:rsidRPr="00075460" w:rsidRDefault="00075460" w:rsidP="007354F0">
            <w:pPr>
              <w:ind w:leftChars="100" w:left="720" w:rightChars="20" w:right="48" w:hangingChars="200" w:hanging="480"/>
              <w:jc w:val="both"/>
              <w:rPr>
                <w:rFonts w:eastAsia="標楷體" w:hint="eastAsia"/>
              </w:rPr>
            </w:pPr>
            <w:r w:rsidRPr="00075460">
              <w:rPr>
                <w:rFonts w:eastAsia="標楷體" w:hint="eastAsia"/>
              </w:rPr>
              <w:t>二、救濟金之給付。</w:t>
            </w:r>
          </w:p>
          <w:p w:rsidR="00075460" w:rsidRPr="00F808D5" w:rsidRDefault="00075460" w:rsidP="005540F2">
            <w:pPr>
              <w:ind w:leftChars="100" w:left="720" w:rightChars="20" w:right="48" w:hangingChars="200" w:hanging="480"/>
              <w:jc w:val="both"/>
              <w:rPr>
                <w:rFonts w:eastAsia="標楷體"/>
              </w:rPr>
            </w:pPr>
            <w:r w:rsidRPr="00075460">
              <w:rPr>
                <w:rFonts w:eastAsia="標楷體" w:hint="eastAsia"/>
              </w:rPr>
              <w:t>三、其他與預防接種受害</w:t>
            </w:r>
            <w:r w:rsidRPr="00075460">
              <w:rPr>
                <w:rFonts w:eastAsia="標楷體" w:hint="eastAsia"/>
              </w:rPr>
              <w:lastRenderedPageBreak/>
              <w:t>救濟業務有關事項。</w:t>
            </w:r>
          </w:p>
        </w:tc>
        <w:tc>
          <w:tcPr>
            <w:tcW w:w="2948" w:type="dxa"/>
          </w:tcPr>
          <w:p w:rsidR="00075460" w:rsidRPr="00075460" w:rsidRDefault="002E14B0" w:rsidP="00075460">
            <w:pPr>
              <w:ind w:left="240" w:rightChars="50" w:right="120" w:hangingChars="100" w:hanging="240"/>
              <w:jc w:val="both"/>
              <w:rPr>
                <w:rFonts w:eastAsia="標楷體" w:hint="eastAsia"/>
              </w:rPr>
            </w:pPr>
            <w:r>
              <w:rPr>
                <w:rFonts w:eastAsia="標楷體" w:hint="eastAsia"/>
              </w:rPr>
              <w:lastRenderedPageBreak/>
              <w:t xml:space="preserve">第二條之二　</w:t>
            </w:r>
            <w:r w:rsidR="00075460" w:rsidRPr="00075460">
              <w:rPr>
                <w:rFonts w:eastAsia="標楷體" w:hint="eastAsia"/>
              </w:rPr>
              <w:t>中央</w:t>
            </w:r>
            <w:r w:rsidR="00075460" w:rsidRPr="00075460">
              <w:rPr>
                <w:rFonts w:eastAsia="標楷體" w:hint="eastAsia"/>
                <w:u w:val="single"/>
              </w:rPr>
              <w:t>衛生</w:t>
            </w:r>
            <w:r w:rsidR="00075460" w:rsidRPr="00075460">
              <w:rPr>
                <w:rFonts w:eastAsia="標楷體" w:hint="eastAsia"/>
              </w:rPr>
              <w:t>主管機關為辦理預防接種受害救濟業務，得委任或委託其他機關</w:t>
            </w:r>
            <w:r w:rsidR="00075460" w:rsidRPr="00075460">
              <w:rPr>
                <w:rFonts w:eastAsia="標楷體" w:hint="eastAsia"/>
              </w:rPr>
              <w:t>(</w:t>
            </w:r>
            <w:r w:rsidR="00075460" w:rsidRPr="00075460">
              <w:rPr>
                <w:rFonts w:eastAsia="標楷體" w:hint="eastAsia"/>
              </w:rPr>
              <w:t>構</w:t>
            </w:r>
            <w:r w:rsidR="00075460" w:rsidRPr="00075460">
              <w:rPr>
                <w:rFonts w:eastAsia="標楷體" w:hint="eastAsia"/>
              </w:rPr>
              <w:t>)</w:t>
            </w:r>
            <w:r w:rsidR="00075460" w:rsidRPr="00075460">
              <w:rPr>
                <w:rFonts w:eastAsia="標楷體" w:hint="eastAsia"/>
              </w:rPr>
              <w:t>、團體辦理下列事項：</w:t>
            </w:r>
          </w:p>
          <w:p w:rsidR="00075460" w:rsidRPr="00075460" w:rsidRDefault="00075460" w:rsidP="00075460">
            <w:pPr>
              <w:ind w:leftChars="100" w:left="720" w:rightChars="20" w:right="48" w:hangingChars="200" w:hanging="480"/>
              <w:jc w:val="both"/>
              <w:rPr>
                <w:rFonts w:eastAsia="標楷體" w:hint="eastAsia"/>
              </w:rPr>
            </w:pPr>
            <w:r w:rsidRPr="00075460">
              <w:rPr>
                <w:rFonts w:eastAsia="標楷體" w:hint="eastAsia"/>
              </w:rPr>
              <w:t>一、預防接種受害救濟業務之審議準備及結果通知等工作。</w:t>
            </w:r>
          </w:p>
          <w:p w:rsidR="00075460" w:rsidRPr="00075460" w:rsidRDefault="00075460" w:rsidP="00075460">
            <w:pPr>
              <w:ind w:leftChars="100" w:left="720" w:rightChars="20" w:right="48" w:hangingChars="200" w:hanging="480"/>
              <w:jc w:val="both"/>
              <w:rPr>
                <w:rFonts w:eastAsia="標楷體" w:hint="eastAsia"/>
              </w:rPr>
            </w:pPr>
            <w:r w:rsidRPr="00075460">
              <w:rPr>
                <w:rFonts w:eastAsia="標楷體" w:hint="eastAsia"/>
              </w:rPr>
              <w:t>二、救濟金之給付。</w:t>
            </w:r>
          </w:p>
          <w:p w:rsidR="004C51CA" w:rsidRPr="00F808D5" w:rsidRDefault="00075460" w:rsidP="004329D3">
            <w:pPr>
              <w:ind w:leftChars="100" w:left="720" w:rightChars="20" w:right="48" w:hangingChars="200" w:hanging="480"/>
              <w:jc w:val="both"/>
              <w:rPr>
                <w:rFonts w:eastAsia="標楷體"/>
              </w:rPr>
            </w:pPr>
            <w:r w:rsidRPr="00075460">
              <w:rPr>
                <w:rFonts w:eastAsia="標楷體" w:hint="eastAsia"/>
              </w:rPr>
              <w:t>三、其他與預防接種受害</w:t>
            </w:r>
            <w:r w:rsidRPr="00075460">
              <w:rPr>
                <w:rFonts w:eastAsia="標楷體" w:hint="eastAsia"/>
              </w:rPr>
              <w:lastRenderedPageBreak/>
              <w:t>救濟業務有關事項。</w:t>
            </w:r>
          </w:p>
        </w:tc>
        <w:tc>
          <w:tcPr>
            <w:tcW w:w="2948" w:type="dxa"/>
          </w:tcPr>
          <w:p w:rsidR="00075460" w:rsidRPr="00AB7111" w:rsidRDefault="00CA1408" w:rsidP="00CA1408">
            <w:pPr>
              <w:ind w:rightChars="50" w:right="120"/>
              <w:jc w:val="both"/>
              <w:rPr>
                <w:rFonts w:eastAsia="標楷體" w:hint="eastAsia"/>
              </w:rPr>
            </w:pPr>
            <w:r>
              <w:rPr>
                <w:rFonts w:eastAsia="標楷體" w:hint="eastAsia"/>
              </w:rPr>
              <w:lastRenderedPageBreak/>
              <w:t>原條文所稱「中央衛生主管機關」即「中央主管機關」，爰酌修</w:t>
            </w:r>
            <w:r w:rsidR="00075460">
              <w:rPr>
                <w:rFonts w:eastAsia="標楷體" w:hint="eastAsia"/>
              </w:rPr>
              <w:t>文字。</w:t>
            </w:r>
          </w:p>
        </w:tc>
      </w:tr>
      <w:tr w:rsidR="00CA1408" w:rsidRPr="00F808D5" w:rsidTr="00CA1408">
        <w:tblPrEx>
          <w:tblCellMar>
            <w:top w:w="0" w:type="dxa"/>
            <w:bottom w:w="0" w:type="dxa"/>
          </w:tblCellMar>
        </w:tblPrEx>
        <w:tc>
          <w:tcPr>
            <w:tcW w:w="2947" w:type="dxa"/>
          </w:tcPr>
          <w:p w:rsidR="00CA1408" w:rsidRPr="00CA1408" w:rsidRDefault="002E14B0" w:rsidP="00CA1408">
            <w:pPr>
              <w:ind w:left="240" w:rightChars="50" w:right="120" w:hangingChars="100" w:hanging="240"/>
              <w:jc w:val="both"/>
              <w:rPr>
                <w:rFonts w:eastAsia="標楷體" w:hint="eastAsia"/>
              </w:rPr>
            </w:pPr>
            <w:r>
              <w:rPr>
                <w:rFonts w:eastAsia="標楷體" w:hint="eastAsia"/>
              </w:rPr>
              <w:lastRenderedPageBreak/>
              <w:t>第四條</w:t>
            </w:r>
            <w:r>
              <w:rPr>
                <w:rFonts w:eastAsia="標楷體" w:hint="eastAsia"/>
              </w:rPr>
              <w:t xml:space="preserve">  </w:t>
            </w:r>
            <w:r w:rsidR="00CA1408" w:rsidRPr="00CA1408">
              <w:rPr>
                <w:rFonts w:eastAsia="標楷體" w:hint="eastAsia"/>
              </w:rPr>
              <w:t>審議小組置委員十九人至二十五人；委員由中央主管機關就醫藥衛生、解剖病理、法學專家或社會公正人士聘兼之，並指定一人為召集人。</w:t>
            </w:r>
          </w:p>
          <w:p w:rsidR="00CA1408" w:rsidRPr="00CA1408" w:rsidRDefault="00CA1408" w:rsidP="00CA1408">
            <w:pPr>
              <w:ind w:leftChars="100" w:left="240" w:rightChars="50" w:right="120" w:firstLineChars="200" w:firstLine="480"/>
              <w:jc w:val="both"/>
              <w:rPr>
                <w:rFonts w:eastAsia="標楷體" w:hint="eastAsia"/>
              </w:rPr>
            </w:pPr>
            <w:r w:rsidRPr="00CA1408">
              <w:rPr>
                <w:rFonts w:eastAsia="標楷體" w:hint="eastAsia"/>
              </w:rPr>
              <w:t>前項法學專家、社會公正人士人數，合計不得少於三分之一。</w:t>
            </w:r>
          </w:p>
          <w:p w:rsidR="00CA1408" w:rsidRPr="00CA1408" w:rsidRDefault="00CA1408" w:rsidP="00CA1408">
            <w:pPr>
              <w:ind w:leftChars="100" w:left="240" w:rightChars="50" w:right="120" w:firstLineChars="200" w:firstLine="480"/>
              <w:jc w:val="both"/>
              <w:rPr>
                <w:rFonts w:eastAsia="標楷體" w:hint="eastAsia"/>
              </w:rPr>
            </w:pPr>
            <w:r w:rsidRPr="00CA1408">
              <w:rPr>
                <w:rFonts w:eastAsia="標楷體" w:hint="eastAsia"/>
              </w:rPr>
              <w:t>委員任期二年，期滿得續聘之；任期內出缺時，得就原代表之同質性人員補足聘任，其任期至原任期屆滿之日止。</w:t>
            </w:r>
          </w:p>
          <w:p w:rsidR="00CA1408" w:rsidRPr="00075460" w:rsidRDefault="00CA1408" w:rsidP="00CA1408">
            <w:pPr>
              <w:ind w:leftChars="100" w:left="240" w:rightChars="50" w:right="120" w:firstLineChars="200" w:firstLine="480"/>
              <w:jc w:val="both"/>
              <w:rPr>
                <w:rFonts w:eastAsia="標楷體" w:hint="eastAsia"/>
              </w:rPr>
            </w:pPr>
            <w:r w:rsidRPr="00CA1408">
              <w:rPr>
                <w:rFonts w:eastAsia="標楷體" w:hint="eastAsia"/>
              </w:rPr>
              <w:t>審議小組之召集人，負責召集會議，並擔任主席。召集人因故不能出席時，由委員互推一人為主席。</w:t>
            </w:r>
          </w:p>
        </w:tc>
        <w:tc>
          <w:tcPr>
            <w:tcW w:w="2948" w:type="dxa"/>
          </w:tcPr>
          <w:p w:rsidR="00CA1408" w:rsidRPr="00CA1408" w:rsidRDefault="002E14B0" w:rsidP="00CA1408">
            <w:pPr>
              <w:ind w:left="240" w:rightChars="50" w:right="120" w:hangingChars="100" w:hanging="240"/>
              <w:jc w:val="both"/>
              <w:rPr>
                <w:rFonts w:eastAsia="標楷體" w:hint="eastAsia"/>
              </w:rPr>
            </w:pPr>
            <w:r>
              <w:rPr>
                <w:rFonts w:eastAsia="標楷體" w:hint="eastAsia"/>
              </w:rPr>
              <w:t>第四條</w:t>
            </w:r>
            <w:r>
              <w:rPr>
                <w:rFonts w:eastAsia="標楷體" w:hint="eastAsia"/>
              </w:rPr>
              <w:t xml:space="preserve">  </w:t>
            </w:r>
            <w:r w:rsidR="00CA1408" w:rsidRPr="00CA1408">
              <w:rPr>
                <w:rFonts w:eastAsia="標楷體" w:hint="eastAsia"/>
              </w:rPr>
              <w:t>審議小組置委員十九人至二十五人；委員由中央</w:t>
            </w:r>
            <w:r w:rsidR="00CA1408" w:rsidRPr="00CA1408">
              <w:rPr>
                <w:rFonts w:eastAsia="標楷體" w:hint="eastAsia"/>
                <w:u w:val="single"/>
              </w:rPr>
              <w:t>衛生</w:t>
            </w:r>
            <w:r w:rsidR="00CA1408" w:rsidRPr="00CA1408">
              <w:rPr>
                <w:rFonts w:eastAsia="標楷體" w:hint="eastAsia"/>
              </w:rPr>
              <w:t>主管機關就醫藥衛生、解剖病理、法學專家或社會公正人士聘兼之，並指定一人為召集人。</w:t>
            </w:r>
          </w:p>
          <w:p w:rsidR="00CA1408" w:rsidRPr="00CA1408" w:rsidRDefault="00CA1408" w:rsidP="00CA1408">
            <w:pPr>
              <w:ind w:leftChars="100" w:left="240" w:rightChars="50" w:right="120" w:firstLineChars="200" w:firstLine="480"/>
              <w:jc w:val="both"/>
              <w:rPr>
                <w:rFonts w:eastAsia="標楷體" w:hint="eastAsia"/>
              </w:rPr>
            </w:pPr>
            <w:r w:rsidRPr="00CA1408">
              <w:rPr>
                <w:rFonts w:eastAsia="標楷體" w:hint="eastAsia"/>
              </w:rPr>
              <w:t>前項法學專家、社會公正人士人數，合計不得少於三分之一。</w:t>
            </w:r>
          </w:p>
          <w:p w:rsidR="00CA1408" w:rsidRPr="00CA1408" w:rsidRDefault="00CA1408" w:rsidP="00CA1408">
            <w:pPr>
              <w:ind w:leftChars="100" w:left="240" w:rightChars="50" w:right="120" w:firstLineChars="200" w:firstLine="480"/>
              <w:jc w:val="both"/>
              <w:rPr>
                <w:rFonts w:eastAsia="標楷體" w:hint="eastAsia"/>
              </w:rPr>
            </w:pPr>
            <w:r w:rsidRPr="00CA1408">
              <w:rPr>
                <w:rFonts w:eastAsia="標楷體" w:hint="eastAsia"/>
              </w:rPr>
              <w:t>委員任期二年，期滿得續聘之；任期內出缺時，得就原代表之同質性人員補足聘任，其任期至原任期屆滿之日止。</w:t>
            </w:r>
          </w:p>
          <w:p w:rsidR="004C51CA" w:rsidRPr="00075460" w:rsidRDefault="00CA1408" w:rsidP="004329D3">
            <w:pPr>
              <w:ind w:leftChars="100" w:left="240" w:rightChars="50" w:right="120" w:firstLineChars="200" w:firstLine="480"/>
              <w:jc w:val="both"/>
              <w:rPr>
                <w:rFonts w:eastAsia="標楷體" w:hint="eastAsia"/>
              </w:rPr>
            </w:pPr>
            <w:r w:rsidRPr="00CA1408">
              <w:rPr>
                <w:rFonts w:eastAsia="標楷體" w:hint="eastAsia"/>
              </w:rPr>
              <w:t>審議小組之召集人，負責召集會議，並擔任主席。召集人因故不能出席時，由委員互推一人為主席。</w:t>
            </w:r>
          </w:p>
        </w:tc>
        <w:tc>
          <w:tcPr>
            <w:tcW w:w="2948" w:type="dxa"/>
          </w:tcPr>
          <w:p w:rsidR="00CA1408" w:rsidRDefault="00CA1408" w:rsidP="00CA1408">
            <w:pPr>
              <w:ind w:rightChars="50" w:right="120"/>
              <w:jc w:val="both"/>
              <w:rPr>
                <w:rFonts w:eastAsia="標楷體" w:hint="eastAsia"/>
              </w:rPr>
            </w:pPr>
            <w:r>
              <w:rPr>
                <w:rFonts w:eastAsia="標楷體" w:hint="eastAsia"/>
              </w:rPr>
              <w:t>原條文所稱「中央衛生主管機關」即「中央主管機關」，爰酌修第一項文字。</w:t>
            </w:r>
          </w:p>
        </w:tc>
      </w:tr>
      <w:tr w:rsidR="00137944" w:rsidRPr="00F808D5" w:rsidTr="00CA1408">
        <w:tblPrEx>
          <w:tblCellMar>
            <w:top w:w="0" w:type="dxa"/>
            <w:bottom w:w="0" w:type="dxa"/>
          </w:tblCellMar>
        </w:tblPrEx>
        <w:tc>
          <w:tcPr>
            <w:tcW w:w="2947" w:type="dxa"/>
          </w:tcPr>
          <w:p w:rsidR="00137944" w:rsidRPr="00F808D5" w:rsidRDefault="00137944" w:rsidP="00795BFA">
            <w:pPr>
              <w:ind w:left="240" w:rightChars="50" w:right="120" w:hangingChars="100" w:hanging="240"/>
              <w:jc w:val="both"/>
              <w:rPr>
                <w:rFonts w:eastAsia="標楷體"/>
              </w:rPr>
            </w:pPr>
            <w:r w:rsidRPr="00F808D5">
              <w:rPr>
                <w:rFonts w:eastAsia="標楷體"/>
              </w:rPr>
              <w:t xml:space="preserve">第七條　</w:t>
            </w:r>
            <w:r w:rsidRPr="00F3413A">
              <w:rPr>
                <w:rFonts w:eastAsia="標楷體"/>
              </w:rPr>
              <w:t>預防接種受害救濟項目如下：</w:t>
            </w:r>
          </w:p>
          <w:p w:rsidR="00F46FAF" w:rsidRPr="00F3413A" w:rsidRDefault="00137944" w:rsidP="00863E8A">
            <w:pPr>
              <w:ind w:leftChars="100" w:left="720" w:rightChars="50" w:right="120" w:hangingChars="200" w:hanging="480"/>
              <w:jc w:val="both"/>
              <w:rPr>
                <w:rFonts w:eastAsia="標楷體"/>
                <w:kern w:val="0"/>
              </w:rPr>
            </w:pPr>
            <w:r w:rsidRPr="00F3413A">
              <w:rPr>
                <w:rFonts w:eastAsia="標楷體"/>
                <w:kern w:val="0"/>
              </w:rPr>
              <w:t>一、死亡給付</w:t>
            </w:r>
            <w:r w:rsidRPr="005444E3">
              <w:rPr>
                <w:rFonts w:eastAsia="標楷體" w:hint="eastAsia"/>
                <w:kern w:val="0"/>
                <w:u w:val="single"/>
              </w:rPr>
              <w:t>。</w:t>
            </w:r>
          </w:p>
          <w:p w:rsidR="00F46FAF" w:rsidRPr="00F3413A" w:rsidRDefault="00137944" w:rsidP="00795BFA">
            <w:pPr>
              <w:ind w:leftChars="100" w:left="720" w:rightChars="50" w:right="120" w:hangingChars="200" w:hanging="480"/>
              <w:jc w:val="both"/>
              <w:rPr>
                <w:rFonts w:eastAsia="標楷體"/>
                <w:kern w:val="0"/>
              </w:rPr>
            </w:pPr>
            <w:r w:rsidRPr="00F3413A">
              <w:rPr>
                <w:rFonts w:eastAsia="標楷體"/>
                <w:kern w:val="0"/>
              </w:rPr>
              <w:t>二、障礙給付</w:t>
            </w:r>
            <w:r w:rsidRPr="005444E3">
              <w:rPr>
                <w:rFonts w:eastAsia="標楷體" w:hint="eastAsia"/>
                <w:kern w:val="0"/>
                <w:u w:val="single"/>
              </w:rPr>
              <w:t>。</w:t>
            </w:r>
          </w:p>
          <w:p w:rsidR="00F46FAF" w:rsidRPr="00F3413A" w:rsidRDefault="00137944" w:rsidP="00795BFA">
            <w:pPr>
              <w:ind w:leftChars="100" w:left="720" w:rightChars="50" w:right="120" w:hangingChars="200" w:hanging="480"/>
              <w:jc w:val="both"/>
              <w:rPr>
                <w:rFonts w:eastAsia="標楷體"/>
                <w:kern w:val="0"/>
              </w:rPr>
            </w:pPr>
            <w:r w:rsidRPr="00F3413A">
              <w:rPr>
                <w:rFonts w:eastAsia="標楷體"/>
                <w:kern w:val="0"/>
              </w:rPr>
              <w:t>三、嚴重疾病給付</w:t>
            </w:r>
            <w:r w:rsidRPr="005444E3">
              <w:rPr>
                <w:rFonts w:eastAsia="標楷體" w:hint="eastAsia"/>
                <w:kern w:val="0"/>
                <w:u w:val="single"/>
              </w:rPr>
              <w:t>。</w:t>
            </w:r>
          </w:p>
          <w:p w:rsidR="00137944" w:rsidRPr="00F3413A" w:rsidRDefault="00137944" w:rsidP="00061519">
            <w:pPr>
              <w:ind w:leftChars="100" w:left="720" w:rightChars="50" w:right="120" w:hangingChars="200" w:hanging="480"/>
              <w:jc w:val="both"/>
              <w:rPr>
                <w:rFonts w:eastAsia="標楷體"/>
                <w:kern w:val="0"/>
              </w:rPr>
            </w:pPr>
            <w:r w:rsidRPr="00F3413A">
              <w:rPr>
                <w:rFonts w:eastAsia="標楷體"/>
                <w:kern w:val="0"/>
              </w:rPr>
              <w:t>四、其他不良反應</w:t>
            </w:r>
            <w:r w:rsidRPr="005444E3">
              <w:rPr>
                <w:rFonts w:eastAsia="標楷體"/>
                <w:kern w:val="0"/>
                <w:u w:val="single"/>
              </w:rPr>
              <w:t>給付</w:t>
            </w:r>
            <w:r w:rsidRPr="005444E3">
              <w:rPr>
                <w:rFonts w:eastAsia="標楷體"/>
                <w:kern w:val="0"/>
              </w:rPr>
              <w:t>。</w:t>
            </w:r>
          </w:p>
          <w:p w:rsidR="008A7710" w:rsidRPr="000F5E32" w:rsidRDefault="00137944" w:rsidP="00863E8A">
            <w:pPr>
              <w:ind w:leftChars="100" w:left="240" w:rightChars="50" w:right="120" w:firstLineChars="200" w:firstLine="480"/>
              <w:jc w:val="both"/>
              <w:rPr>
                <w:rFonts w:eastAsia="標楷體" w:hint="eastAsia"/>
                <w:u w:val="single"/>
              </w:rPr>
            </w:pPr>
            <w:r w:rsidRPr="000C2072">
              <w:rPr>
                <w:rFonts w:eastAsia="標楷體" w:hint="eastAsia"/>
                <w:u w:val="single"/>
              </w:rPr>
              <w:t>審議小組應依附表</w:t>
            </w:r>
            <w:r w:rsidR="00795BFA" w:rsidRPr="00795BFA">
              <w:rPr>
                <w:rFonts w:eastAsia="標楷體" w:hint="eastAsia"/>
                <w:u w:val="single"/>
              </w:rPr>
              <w:t>預防接種受害救濟給付金額範圍</w:t>
            </w:r>
            <w:r w:rsidRPr="00010E96">
              <w:rPr>
                <w:rFonts w:eastAsia="標楷體" w:hint="eastAsia"/>
                <w:u w:val="single"/>
              </w:rPr>
              <w:t>，審定</w:t>
            </w:r>
            <w:r w:rsidRPr="00500B32">
              <w:rPr>
                <w:rFonts w:eastAsia="標楷體" w:hint="eastAsia"/>
                <w:u w:val="single"/>
              </w:rPr>
              <w:t>前項給付</w:t>
            </w:r>
            <w:r w:rsidRPr="00720C5B">
              <w:rPr>
                <w:rFonts w:eastAsia="標楷體" w:hint="eastAsia"/>
                <w:u w:val="single"/>
              </w:rPr>
              <w:t>金額。</w:t>
            </w:r>
          </w:p>
          <w:p w:rsidR="00137944" w:rsidRPr="00F808D5" w:rsidRDefault="00F77F22" w:rsidP="00863E8A">
            <w:pPr>
              <w:ind w:leftChars="100" w:left="240" w:rightChars="50" w:right="120" w:firstLineChars="200" w:firstLine="480"/>
              <w:jc w:val="both"/>
              <w:rPr>
                <w:rFonts w:eastAsia="標楷體"/>
                <w:u w:val="single"/>
              </w:rPr>
            </w:pPr>
            <w:r w:rsidRPr="00795BFA">
              <w:rPr>
                <w:rFonts w:eastAsia="標楷體" w:hint="eastAsia"/>
                <w:u w:val="single"/>
              </w:rPr>
              <w:t>第一</w:t>
            </w:r>
            <w:r w:rsidR="00137944" w:rsidRPr="00795BFA">
              <w:rPr>
                <w:rFonts w:eastAsia="標楷體"/>
                <w:u w:val="single"/>
              </w:rPr>
              <w:t>項</w:t>
            </w:r>
            <w:r w:rsidR="00137944" w:rsidRPr="00F808D5">
              <w:rPr>
                <w:rFonts w:eastAsia="標楷體"/>
                <w:u w:val="single"/>
              </w:rPr>
              <w:t>第二款障礙</w:t>
            </w:r>
            <w:r w:rsidR="00137944">
              <w:rPr>
                <w:rFonts w:eastAsia="標楷體" w:hint="eastAsia"/>
                <w:u w:val="single"/>
              </w:rPr>
              <w:t>程度</w:t>
            </w:r>
            <w:r w:rsidR="00137944" w:rsidRPr="00F808D5">
              <w:rPr>
                <w:rFonts w:eastAsia="標楷體"/>
                <w:u w:val="single"/>
              </w:rPr>
              <w:t>之認定，依身心障礙者權益保障法令所定障礙類別、等級</w:t>
            </w:r>
            <w:r w:rsidR="00137944">
              <w:rPr>
                <w:rFonts w:eastAsia="標楷體" w:hint="eastAsia"/>
                <w:u w:val="single"/>
              </w:rPr>
              <w:t>，</w:t>
            </w:r>
            <w:r w:rsidR="00066046">
              <w:rPr>
                <w:rFonts w:eastAsia="標楷體" w:hint="eastAsia"/>
                <w:u w:val="single"/>
              </w:rPr>
              <w:t>但</w:t>
            </w:r>
            <w:r w:rsidR="00137944" w:rsidRPr="008533FA">
              <w:rPr>
                <w:rFonts w:eastAsia="標楷體" w:hint="eastAsia"/>
                <w:u w:val="single"/>
              </w:rPr>
              <w:t>不包括轉化症等因心理因素所致之情形</w:t>
            </w:r>
            <w:r w:rsidR="00137944" w:rsidRPr="00F808D5">
              <w:rPr>
                <w:rFonts w:eastAsia="標楷體"/>
                <w:u w:val="single"/>
              </w:rPr>
              <w:t>。</w:t>
            </w:r>
          </w:p>
          <w:p w:rsidR="00137944" w:rsidRPr="00F808D5" w:rsidRDefault="00137944" w:rsidP="00863E8A">
            <w:pPr>
              <w:ind w:leftChars="100" w:left="240" w:rightChars="50" w:right="120" w:firstLineChars="200" w:firstLine="480"/>
              <w:jc w:val="both"/>
              <w:rPr>
                <w:rFonts w:eastAsia="標楷體"/>
              </w:rPr>
            </w:pPr>
            <w:r w:rsidRPr="000C2072">
              <w:rPr>
                <w:rFonts w:eastAsia="標楷體"/>
                <w:u w:val="single"/>
              </w:rPr>
              <w:t>第一</w:t>
            </w:r>
            <w:r w:rsidRPr="00066046">
              <w:rPr>
                <w:rFonts w:eastAsia="標楷體"/>
                <w:u w:val="single"/>
              </w:rPr>
              <w:t>項</w:t>
            </w:r>
            <w:r w:rsidRPr="00F808D5">
              <w:rPr>
                <w:rFonts w:eastAsia="標楷體"/>
              </w:rPr>
              <w:t>第三款嚴重</w:t>
            </w:r>
            <w:r w:rsidRPr="00F808D5">
              <w:rPr>
                <w:rFonts w:eastAsia="標楷體"/>
              </w:rPr>
              <w:lastRenderedPageBreak/>
              <w:t>疾病之認定，依全民健康保險重大傷病範圍及藥物不良反應通報規定所列嚴重不良反應公告之疾病。</w:t>
            </w:r>
          </w:p>
          <w:p w:rsidR="00137944" w:rsidRPr="00F808D5" w:rsidRDefault="00137944" w:rsidP="00863E8A">
            <w:pPr>
              <w:ind w:leftChars="100" w:left="240" w:rightChars="50" w:right="120" w:firstLineChars="200" w:firstLine="480"/>
              <w:jc w:val="both"/>
              <w:rPr>
                <w:rFonts w:eastAsia="標楷體"/>
                <w:bCs/>
                <w:u w:val="single"/>
              </w:rPr>
            </w:pPr>
            <w:r w:rsidRPr="00F808D5">
              <w:rPr>
                <w:rFonts w:eastAsia="標楷體"/>
              </w:rPr>
              <w:t>給付種類發生競合時，擇其較高金額給付之；已就較低金額給付者，補足其差額。</w:t>
            </w:r>
          </w:p>
        </w:tc>
        <w:tc>
          <w:tcPr>
            <w:tcW w:w="2948" w:type="dxa"/>
          </w:tcPr>
          <w:p w:rsidR="00137944" w:rsidRPr="00F808D5" w:rsidRDefault="00137944" w:rsidP="00863E8A">
            <w:pPr>
              <w:ind w:left="240" w:rightChars="50" w:right="120" w:hangingChars="100" w:hanging="240"/>
              <w:jc w:val="both"/>
              <w:rPr>
                <w:rFonts w:eastAsia="標楷體"/>
              </w:rPr>
            </w:pPr>
            <w:r w:rsidRPr="00F808D5">
              <w:rPr>
                <w:rFonts w:eastAsia="標楷體"/>
              </w:rPr>
              <w:lastRenderedPageBreak/>
              <w:t xml:space="preserve">第七條　</w:t>
            </w:r>
            <w:r w:rsidRPr="00F3413A">
              <w:rPr>
                <w:rFonts w:eastAsia="標楷體"/>
                <w:u w:val="single"/>
              </w:rPr>
              <w:t>審議小組審議</w:t>
            </w:r>
            <w:r w:rsidRPr="00F808D5">
              <w:rPr>
                <w:rFonts w:eastAsia="標楷體"/>
              </w:rPr>
              <w:t>預防接種受害救濟</w:t>
            </w:r>
            <w:r w:rsidRPr="00F3413A">
              <w:rPr>
                <w:rFonts w:eastAsia="標楷體"/>
                <w:u w:val="single"/>
              </w:rPr>
              <w:t>，應依下列救濟</w:t>
            </w:r>
            <w:r w:rsidRPr="00F808D5">
              <w:rPr>
                <w:rFonts w:eastAsia="標楷體"/>
              </w:rPr>
              <w:t>項目</w:t>
            </w:r>
            <w:r w:rsidRPr="00F3413A">
              <w:rPr>
                <w:rFonts w:eastAsia="標楷體"/>
                <w:u w:val="single"/>
              </w:rPr>
              <w:t>及認定基準為之</w:t>
            </w:r>
            <w:r w:rsidRPr="00F808D5">
              <w:rPr>
                <w:rFonts w:eastAsia="標楷體"/>
              </w:rPr>
              <w:t>：</w:t>
            </w:r>
          </w:p>
          <w:p w:rsidR="00137944" w:rsidRPr="00F808D5" w:rsidRDefault="00137944" w:rsidP="00863E8A">
            <w:pPr>
              <w:ind w:leftChars="100" w:left="720" w:rightChars="50" w:right="120" w:hangingChars="200" w:hanging="480"/>
              <w:jc w:val="both"/>
              <w:rPr>
                <w:rFonts w:eastAsia="標楷體"/>
                <w:kern w:val="0"/>
              </w:rPr>
            </w:pPr>
            <w:r w:rsidRPr="00F808D5">
              <w:rPr>
                <w:rFonts w:eastAsia="標楷體"/>
                <w:kern w:val="0"/>
              </w:rPr>
              <w:t>一、死亡給付：</w:t>
            </w:r>
          </w:p>
          <w:p w:rsidR="00137944" w:rsidRPr="005444E3" w:rsidRDefault="00137944" w:rsidP="00863E8A">
            <w:pPr>
              <w:ind w:leftChars="200" w:left="960" w:rightChars="50" w:right="120" w:hangingChars="200" w:hanging="480"/>
              <w:jc w:val="both"/>
              <w:rPr>
                <w:rFonts w:eastAsia="標楷體"/>
                <w:kern w:val="0"/>
                <w:u w:val="single"/>
              </w:rPr>
            </w:pPr>
            <w:r w:rsidRPr="005444E3">
              <w:rPr>
                <w:rFonts w:eastAsia="標楷體"/>
                <w:kern w:val="0"/>
                <w:u w:val="single"/>
              </w:rPr>
              <w:t>(</w:t>
            </w:r>
            <w:r w:rsidRPr="005444E3">
              <w:rPr>
                <w:rFonts w:eastAsia="標楷體"/>
                <w:kern w:val="0"/>
                <w:u w:val="single"/>
              </w:rPr>
              <w:t>一</w:t>
            </w:r>
            <w:r w:rsidRPr="005444E3">
              <w:rPr>
                <w:rFonts w:eastAsia="標楷體"/>
                <w:kern w:val="0"/>
                <w:u w:val="single"/>
              </w:rPr>
              <w:t>)</w:t>
            </w:r>
            <w:r w:rsidRPr="005444E3">
              <w:rPr>
                <w:rFonts w:eastAsia="標楷體"/>
                <w:kern w:val="0"/>
                <w:u w:val="single"/>
              </w:rPr>
              <w:t>因預防接種致死者，最高給付新臺幣六百萬元。</w:t>
            </w:r>
          </w:p>
          <w:p w:rsidR="00137944" w:rsidRPr="005444E3" w:rsidRDefault="00137944" w:rsidP="00863E8A">
            <w:pPr>
              <w:ind w:leftChars="200" w:left="960" w:rightChars="50" w:right="120" w:hangingChars="200" w:hanging="480"/>
              <w:jc w:val="both"/>
              <w:rPr>
                <w:rFonts w:eastAsia="標楷體"/>
                <w:kern w:val="0"/>
                <w:u w:val="single"/>
              </w:rPr>
            </w:pPr>
            <w:r w:rsidRPr="005444E3">
              <w:rPr>
                <w:rFonts w:eastAsia="標楷體"/>
                <w:kern w:val="0"/>
                <w:u w:val="single"/>
              </w:rPr>
              <w:t>(</w:t>
            </w:r>
            <w:r w:rsidRPr="005444E3">
              <w:rPr>
                <w:rFonts w:eastAsia="標楷體"/>
                <w:kern w:val="0"/>
                <w:u w:val="single"/>
              </w:rPr>
              <w:t>二</w:t>
            </w:r>
            <w:r w:rsidRPr="005444E3">
              <w:rPr>
                <w:rFonts w:eastAsia="標楷體"/>
                <w:kern w:val="0"/>
                <w:u w:val="single"/>
              </w:rPr>
              <w:t>)</w:t>
            </w:r>
            <w:r w:rsidRPr="005444E3">
              <w:rPr>
                <w:rFonts w:eastAsia="標楷體"/>
                <w:kern w:val="0"/>
                <w:u w:val="single"/>
              </w:rPr>
              <w:t>無法排除因預防接種致死者，最高給付新臺幣三百五十萬元。</w:t>
            </w:r>
          </w:p>
          <w:p w:rsidR="00137944" w:rsidRPr="00066046" w:rsidRDefault="00137944" w:rsidP="00863E8A">
            <w:pPr>
              <w:ind w:leftChars="200" w:left="960" w:rightChars="50" w:right="120" w:hangingChars="200" w:hanging="480"/>
              <w:jc w:val="both"/>
              <w:rPr>
                <w:rFonts w:eastAsia="標楷體"/>
                <w:kern w:val="0"/>
                <w:u w:val="single"/>
              </w:rPr>
            </w:pPr>
            <w:r w:rsidRPr="00066046">
              <w:rPr>
                <w:rFonts w:eastAsia="標楷體"/>
                <w:kern w:val="0"/>
                <w:u w:val="single"/>
              </w:rPr>
              <w:t>(</w:t>
            </w:r>
            <w:r w:rsidRPr="00066046">
              <w:rPr>
                <w:rFonts w:eastAsia="標楷體"/>
                <w:kern w:val="0"/>
                <w:u w:val="single"/>
              </w:rPr>
              <w:t>三</w:t>
            </w:r>
            <w:r w:rsidRPr="00066046">
              <w:rPr>
                <w:rFonts w:eastAsia="標楷體"/>
                <w:kern w:val="0"/>
                <w:u w:val="single"/>
              </w:rPr>
              <w:t>)</w:t>
            </w:r>
            <w:r w:rsidRPr="00066046">
              <w:rPr>
                <w:rFonts w:eastAsia="標楷體"/>
                <w:kern w:val="0"/>
                <w:u w:val="single"/>
              </w:rPr>
              <w:t>因其他原因致死者，不予給付。</w:t>
            </w:r>
          </w:p>
          <w:p w:rsidR="00137944" w:rsidRPr="00F808D5" w:rsidRDefault="00137944" w:rsidP="00863E8A">
            <w:pPr>
              <w:ind w:leftChars="100" w:left="720" w:rightChars="50" w:right="120" w:hangingChars="200" w:hanging="480"/>
              <w:jc w:val="both"/>
              <w:rPr>
                <w:rFonts w:eastAsia="標楷體"/>
                <w:kern w:val="0"/>
              </w:rPr>
            </w:pPr>
            <w:r w:rsidRPr="00F808D5">
              <w:rPr>
                <w:rFonts w:eastAsia="標楷體"/>
                <w:kern w:val="0"/>
              </w:rPr>
              <w:t>二、</w:t>
            </w:r>
            <w:r w:rsidRPr="00066046">
              <w:rPr>
                <w:rFonts w:eastAsia="標楷體"/>
                <w:kern w:val="0"/>
                <w:u w:val="single"/>
              </w:rPr>
              <w:t>身心</w:t>
            </w:r>
            <w:r w:rsidRPr="00F808D5">
              <w:rPr>
                <w:rFonts w:eastAsia="標楷體"/>
                <w:kern w:val="0"/>
              </w:rPr>
              <w:t>障礙給付：</w:t>
            </w:r>
          </w:p>
          <w:p w:rsidR="00137944" w:rsidRPr="005444E3" w:rsidRDefault="00137944" w:rsidP="00863E8A">
            <w:pPr>
              <w:ind w:leftChars="200" w:left="960" w:rightChars="50" w:right="120" w:hangingChars="200" w:hanging="480"/>
              <w:jc w:val="both"/>
              <w:rPr>
                <w:rFonts w:eastAsia="標楷體"/>
                <w:kern w:val="0"/>
                <w:u w:val="single"/>
              </w:rPr>
            </w:pPr>
            <w:r w:rsidRPr="005444E3">
              <w:rPr>
                <w:rFonts w:eastAsia="標楷體"/>
                <w:kern w:val="0"/>
                <w:u w:val="single"/>
              </w:rPr>
              <w:t>(</w:t>
            </w:r>
            <w:r w:rsidRPr="005444E3">
              <w:rPr>
                <w:rFonts w:eastAsia="標楷體"/>
                <w:kern w:val="0"/>
                <w:u w:val="single"/>
              </w:rPr>
              <w:t>一</w:t>
            </w:r>
            <w:r w:rsidRPr="005444E3">
              <w:rPr>
                <w:rFonts w:eastAsia="標楷體"/>
                <w:kern w:val="0"/>
                <w:u w:val="single"/>
              </w:rPr>
              <w:t>)</w:t>
            </w:r>
            <w:r w:rsidRPr="005444E3">
              <w:rPr>
                <w:rFonts w:eastAsia="標楷體"/>
                <w:kern w:val="0"/>
                <w:u w:val="single"/>
              </w:rPr>
              <w:t>因預防接種致身心障礙者，最高給</w:t>
            </w:r>
            <w:r w:rsidRPr="005444E3">
              <w:rPr>
                <w:rFonts w:eastAsia="標楷體"/>
                <w:kern w:val="0"/>
                <w:u w:val="single"/>
              </w:rPr>
              <w:lastRenderedPageBreak/>
              <w:t>付新臺幣五百萬元。</w:t>
            </w:r>
          </w:p>
          <w:p w:rsidR="00137944" w:rsidRPr="005444E3" w:rsidRDefault="00137944" w:rsidP="00863E8A">
            <w:pPr>
              <w:ind w:leftChars="200" w:left="960" w:rightChars="50" w:right="120" w:hangingChars="200" w:hanging="480"/>
              <w:jc w:val="both"/>
              <w:rPr>
                <w:rFonts w:eastAsia="標楷體"/>
                <w:kern w:val="0"/>
                <w:u w:val="single"/>
              </w:rPr>
            </w:pPr>
            <w:r w:rsidRPr="005444E3">
              <w:rPr>
                <w:rFonts w:eastAsia="標楷體"/>
                <w:kern w:val="0"/>
                <w:u w:val="single"/>
              </w:rPr>
              <w:t>(</w:t>
            </w:r>
            <w:r w:rsidRPr="005444E3">
              <w:rPr>
                <w:rFonts w:eastAsia="標楷體"/>
                <w:kern w:val="0"/>
                <w:u w:val="single"/>
              </w:rPr>
              <w:t>二</w:t>
            </w:r>
            <w:r w:rsidRPr="005444E3">
              <w:rPr>
                <w:rFonts w:eastAsia="標楷體"/>
                <w:kern w:val="0"/>
                <w:u w:val="single"/>
              </w:rPr>
              <w:t>)</w:t>
            </w:r>
            <w:r w:rsidRPr="005444E3">
              <w:rPr>
                <w:rFonts w:eastAsia="標楷體"/>
                <w:kern w:val="0"/>
                <w:u w:val="single"/>
              </w:rPr>
              <w:t>無法排除因預防接種致身心障礙者，最高給付新臺幣三百萬元。</w:t>
            </w:r>
          </w:p>
          <w:p w:rsidR="00137944" w:rsidRPr="00F808D5" w:rsidRDefault="00137944" w:rsidP="00863E8A">
            <w:pPr>
              <w:ind w:leftChars="200" w:left="960" w:rightChars="50" w:right="120" w:hangingChars="200" w:hanging="480"/>
              <w:jc w:val="both"/>
              <w:rPr>
                <w:rFonts w:eastAsia="標楷體"/>
                <w:kern w:val="0"/>
              </w:rPr>
            </w:pPr>
            <w:r w:rsidRPr="005444E3">
              <w:rPr>
                <w:rFonts w:eastAsia="標楷體"/>
                <w:kern w:val="0"/>
                <w:u w:val="single"/>
              </w:rPr>
              <w:t>(</w:t>
            </w:r>
            <w:r w:rsidRPr="005444E3">
              <w:rPr>
                <w:rFonts w:eastAsia="標楷體"/>
                <w:kern w:val="0"/>
                <w:u w:val="single"/>
              </w:rPr>
              <w:t>三</w:t>
            </w:r>
            <w:r w:rsidRPr="005444E3">
              <w:rPr>
                <w:rFonts w:eastAsia="標楷體"/>
                <w:kern w:val="0"/>
                <w:u w:val="single"/>
              </w:rPr>
              <w:t>)</w:t>
            </w:r>
            <w:r w:rsidRPr="005444E3">
              <w:rPr>
                <w:rFonts w:eastAsia="標楷體"/>
                <w:kern w:val="0"/>
                <w:u w:val="single"/>
              </w:rPr>
              <w:t>因其他原因</w:t>
            </w:r>
            <w:r w:rsidRPr="00066046">
              <w:rPr>
                <w:rFonts w:eastAsia="標楷體"/>
                <w:kern w:val="0"/>
                <w:u w:val="single"/>
              </w:rPr>
              <w:t>致身心障礙者，不予給付。</w:t>
            </w:r>
          </w:p>
          <w:p w:rsidR="00137944" w:rsidRPr="00F808D5" w:rsidRDefault="00137944" w:rsidP="00863E8A">
            <w:pPr>
              <w:ind w:leftChars="100" w:left="720" w:rightChars="50" w:right="120" w:hangingChars="200" w:hanging="480"/>
              <w:jc w:val="both"/>
              <w:rPr>
                <w:rFonts w:eastAsia="標楷體"/>
                <w:kern w:val="0"/>
              </w:rPr>
            </w:pPr>
            <w:r w:rsidRPr="00F808D5">
              <w:rPr>
                <w:rFonts w:eastAsia="標楷體"/>
                <w:kern w:val="0"/>
              </w:rPr>
              <w:t>三、嚴重疾病給付：</w:t>
            </w:r>
          </w:p>
          <w:p w:rsidR="00137944" w:rsidRPr="005444E3" w:rsidRDefault="00137944" w:rsidP="00863E8A">
            <w:pPr>
              <w:ind w:leftChars="200" w:left="960" w:rightChars="50" w:right="120" w:hangingChars="200" w:hanging="480"/>
              <w:jc w:val="both"/>
              <w:rPr>
                <w:rFonts w:eastAsia="標楷體"/>
                <w:kern w:val="0"/>
                <w:u w:val="single"/>
              </w:rPr>
            </w:pPr>
            <w:r w:rsidRPr="005444E3">
              <w:rPr>
                <w:rFonts w:eastAsia="標楷體"/>
                <w:kern w:val="0"/>
                <w:u w:val="single"/>
              </w:rPr>
              <w:t>(</w:t>
            </w:r>
            <w:r w:rsidRPr="005444E3">
              <w:rPr>
                <w:rFonts w:eastAsia="標楷體"/>
                <w:kern w:val="0"/>
                <w:u w:val="single"/>
              </w:rPr>
              <w:t>一</w:t>
            </w:r>
            <w:r w:rsidRPr="005444E3">
              <w:rPr>
                <w:rFonts w:eastAsia="標楷體"/>
                <w:kern w:val="0"/>
                <w:u w:val="single"/>
              </w:rPr>
              <w:t>)</w:t>
            </w:r>
            <w:r w:rsidRPr="005444E3">
              <w:rPr>
                <w:rFonts w:eastAsia="標楷體"/>
                <w:kern w:val="0"/>
                <w:u w:val="single"/>
              </w:rPr>
              <w:t>因預防接種致嚴重疾病者，最高給付新臺幣一百萬元。</w:t>
            </w:r>
          </w:p>
          <w:p w:rsidR="00137944" w:rsidRPr="005444E3" w:rsidRDefault="00137944" w:rsidP="00863E8A">
            <w:pPr>
              <w:ind w:leftChars="200" w:left="960" w:rightChars="50" w:right="120" w:hangingChars="200" w:hanging="480"/>
              <w:jc w:val="both"/>
              <w:rPr>
                <w:rFonts w:eastAsia="標楷體"/>
                <w:kern w:val="0"/>
                <w:u w:val="single"/>
              </w:rPr>
            </w:pPr>
            <w:r w:rsidRPr="005444E3">
              <w:rPr>
                <w:rFonts w:eastAsia="標楷體"/>
                <w:kern w:val="0"/>
                <w:u w:val="single"/>
              </w:rPr>
              <w:t>(</w:t>
            </w:r>
            <w:r w:rsidRPr="005444E3">
              <w:rPr>
                <w:rFonts w:eastAsia="標楷體"/>
                <w:kern w:val="0"/>
                <w:u w:val="single"/>
              </w:rPr>
              <w:t>二</w:t>
            </w:r>
            <w:r w:rsidRPr="005444E3">
              <w:rPr>
                <w:rFonts w:eastAsia="標楷體"/>
                <w:kern w:val="0"/>
                <w:u w:val="single"/>
              </w:rPr>
              <w:t>)</w:t>
            </w:r>
            <w:r w:rsidRPr="005444E3">
              <w:rPr>
                <w:rFonts w:eastAsia="標楷體"/>
                <w:kern w:val="0"/>
                <w:u w:val="single"/>
              </w:rPr>
              <w:t>無法排除因預防接種致嚴重疾病者，最高給付新臺幣六十萬元。</w:t>
            </w:r>
          </w:p>
          <w:p w:rsidR="00137944" w:rsidRPr="00066046" w:rsidRDefault="00137944" w:rsidP="00863E8A">
            <w:pPr>
              <w:ind w:leftChars="200" w:left="960" w:rightChars="50" w:right="120" w:hangingChars="200" w:hanging="480"/>
              <w:jc w:val="both"/>
              <w:rPr>
                <w:rFonts w:eastAsia="標楷體"/>
                <w:kern w:val="0"/>
                <w:u w:val="single"/>
              </w:rPr>
            </w:pPr>
            <w:r w:rsidRPr="00066046">
              <w:rPr>
                <w:rFonts w:eastAsia="標楷體"/>
                <w:kern w:val="0"/>
                <w:u w:val="single"/>
              </w:rPr>
              <w:t>(</w:t>
            </w:r>
            <w:r w:rsidRPr="00066046">
              <w:rPr>
                <w:rFonts w:eastAsia="標楷體"/>
                <w:kern w:val="0"/>
                <w:u w:val="single"/>
              </w:rPr>
              <w:t>三</w:t>
            </w:r>
            <w:r w:rsidRPr="00066046">
              <w:rPr>
                <w:rFonts w:eastAsia="標楷體"/>
                <w:kern w:val="0"/>
                <w:u w:val="single"/>
              </w:rPr>
              <w:t>)</w:t>
            </w:r>
            <w:r w:rsidRPr="00066046">
              <w:rPr>
                <w:rFonts w:eastAsia="標楷體"/>
                <w:kern w:val="0"/>
                <w:u w:val="single"/>
              </w:rPr>
              <w:t>因其他原因致嚴重疾病者，不予給付。</w:t>
            </w:r>
          </w:p>
          <w:p w:rsidR="00137944" w:rsidRPr="00F808D5" w:rsidRDefault="00137944" w:rsidP="00206E7D">
            <w:pPr>
              <w:ind w:leftChars="100" w:left="720" w:rightChars="20" w:right="48" w:hangingChars="200" w:hanging="480"/>
              <w:jc w:val="both"/>
              <w:rPr>
                <w:rFonts w:eastAsia="標楷體"/>
                <w:kern w:val="0"/>
              </w:rPr>
            </w:pPr>
            <w:r w:rsidRPr="00F808D5">
              <w:rPr>
                <w:rFonts w:eastAsia="標楷體"/>
                <w:kern w:val="0"/>
              </w:rPr>
              <w:t>四、其他</w:t>
            </w:r>
            <w:r w:rsidRPr="005444E3">
              <w:rPr>
                <w:rFonts w:eastAsia="標楷體"/>
                <w:kern w:val="0"/>
                <w:u w:val="single"/>
              </w:rPr>
              <w:t>因預防接種致</w:t>
            </w:r>
            <w:r w:rsidRPr="00F808D5">
              <w:rPr>
                <w:rFonts w:eastAsia="標楷體"/>
                <w:kern w:val="0"/>
              </w:rPr>
              <w:t>不良反應</w:t>
            </w:r>
            <w:r w:rsidRPr="005444E3">
              <w:rPr>
                <w:rFonts w:eastAsia="標楷體"/>
                <w:kern w:val="0"/>
                <w:u w:val="single"/>
              </w:rPr>
              <w:t>者，最高給付新臺幣二十萬元</w:t>
            </w:r>
            <w:r w:rsidRPr="00F808D5">
              <w:rPr>
                <w:rFonts w:eastAsia="標楷體"/>
                <w:kern w:val="0"/>
              </w:rPr>
              <w:t>。</w:t>
            </w:r>
          </w:p>
          <w:p w:rsidR="00137944" w:rsidRPr="008533FA" w:rsidRDefault="00137944" w:rsidP="00206E7D">
            <w:pPr>
              <w:ind w:leftChars="100" w:left="720" w:rightChars="20" w:right="48" w:hangingChars="200" w:hanging="480"/>
              <w:jc w:val="both"/>
              <w:rPr>
                <w:rFonts w:eastAsia="標楷體"/>
                <w:u w:val="single"/>
              </w:rPr>
            </w:pPr>
            <w:r w:rsidRPr="008533FA">
              <w:rPr>
                <w:rFonts w:eastAsia="標楷體"/>
                <w:kern w:val="0"/>
                <w:u w:val="single"/>
              </w:rPr>
              <w:t>五、預防接種後疑似嚴重不良反應者，為釐清其症狀與預防接種之關係，依其嚴重程度，所施行之合理檢查及醫療費用，最高給予新臺幣十萬元。</w:t>
            </w:r>
          </w:p>
          <w:p w:rsidR="00137944" w:rsidRPr="00F808D5" w:rsidRDefault="00137944" w:rsidP="00863E8A">
            <w:pPr>
              <w:ind w:leftChars="100" w:left="240" w:rightChars="50" w:right="120" w:firstLineChars="200" w:firstLine="480"/>
              <w:jc w:val="both"/>
              <w:rPr>
                <w:rFonts w:eastAsia="標楷體"/>
              </w:rPr>
            </w:pPr>
            <w:r w:rsidRPr="000C2072">
              <w:rPr>
                <w:rFonts w:eastAsia="標楷體"/>
              </w:rPr>
              <w:t>前</w:t>
            </w:r>
            <w:r w:rsidRPr="00F808D5">
              <w:rPr>
                <w:rFonts w:eastAsia="標楷體"/>
              </w:rPr>
              <w:t>項第三款嚴重疾病之認定，依全民健康保險重大傷病範圍及藥物不良反應通報規定所列嚴重不良反應公告之疾病。</w:t>
            </w:r>
          </w:p>
          <w:p w:rsidR="00137944" w:rsidRPr="00F808D5" w:rsidRDefault="00137944" w:rsidP="00863E8A">
            <w:pPr>
              <w:ind w:leftChars="100" w:left="240" w:rightChars="50" w:right="120" w:firstLineChars="200" w:firstLine="480"/>
              <w:jc w:val="both"/>
              <w:rPr>
                <w:rFonts w:eastAsia="標楷體"/>
              </w:rPr>
            </w:pPr>
            <w:r w:rsidRPr="00F808D5">
              <w:rPr>
                <w:rFonts w:eastAsia="標楷體"/>
              </w:rPr>
              <w:t>給付種類發生競合</w:t>
            </w:r>
            <w:r w:rsidRPr="00F808D5">
              <w:rPr>
                <w:rFonts w:eastAsia="標楷體"/>
              </w:rPr>
              <w:lastRenderedPageBreak/>
              <w:t>時，擇其較高金額給付之；已就較低金額給付者，補足其差額。</w:t>
            </w:r>
          </w:p>
          <w:p w:rsidR="00137944" w:rsidRPr="00F827E0" w:rsidRDefault="00137944" w:rsidP="00863E8A">
            <w:pPr>
              <w:ind w:leftChars="100" w:left="240" w:rightChars="50" w:right="120" w:firstLineChars="200" w:firstLine="480"/>
              <w:jc w:val="both"/>
              <w:rPr>
                <w:rFonts w:eastAsia="標楷體"/>
                <w:u w:val="single"/>
              </w:rPr>
            </w:pPr>
            <w:r w:rsidRPr="00F827E0">
              <w:rPr>
                <w:rFonts w:eastAsia="標楷體"/>
                <w:u w:val="single"/>
              </w:rPr>
              <w:t>疑因預防接種受害致死，並經病理解剖者，給付喪葬補助費新臺幣三十萬元。</w:t>
            </w:r>
          </w:p>
          <w:p w:rsidR="004C51CA" w:rsidRPr="00F808D5" w:rsidRDefault="00137944" w:rsidP="004329D3">
            <w:pPr>
              <w:ind w:leftChars="100" w:left="240" w:rightChars="50" w:right="120" w:firstLineChars="200" w:firstLine="480"/>
              <w:jc w:val="both"/>
              <w:rPr>
                <w:rFonts w:eastAsia="標楷體" w:hint="eastAsia"/>
              </w:rPr>
            </w:pPr>
            <w:r w:rsidRPr="00F827E0">
              <w:rPr>
                <w:rFonts w:eastAsia="標楷體"/>
                <w:u w:val="single"/>
              </w:rPr>
              <w:t>孕婦疑因預防接種致死產或流產，經解剖或檢驗其胎兒或胚胎，孕程滿二十週以上者，給付新臺幣十萬元；孕程未滿二十週者，給付新臺幣五萬元。</w:t>
            </w:r>
          </w:p>
        </w:tc>
        <w:tc>
          <w:tcPr>
            <w:tcW w:w="2948" w:type="dxa"/>
          </w:tcPr>
          <w:p w:rsidR="005444E3" w:rsidRPr="005444E3" w:rsidRDefault="00F3413A" w:rsidP="00066046">
            <w:pPr>
              <w:numPr>
                <w:ilvl w:val="0"/>
                <w:numId w:val="14"/>
              </w:numPr>
              <w:ind w:leftChars="50" w:left="687" w:rightChars="50" w:right="120" w:hanging="567"/>
              <w:jc w:val="both"/>
              <w:rPr>
                <w:rFonts w:eastAsia="標楷體" w:hint="eastAsia"/>
              </w:rPr>
            </w:pPr>
            <w:r>
              <w:rPr>
                <w:rFonts w:ascii="標楷體" w:eastAsia="標楷體" w:hAnsi="標楷體" w:hint="eastAsia"/>
              </w:rPr>
              <w:lastRenderedPageBreak/>
              <w:t>修正條文第一項之各救濟項目改採</w:t>
            </w:r>
            <w:r w:rsidR="00137944" w:rsidRPr="00795BFA">
              <w:rPr>
                <w:rFonts w:ascii="標楷體" w:eastAsia="標楷體" w:hAnsi="標楷體" w:hint="eastAsia"/>
              </w:rPr>
              <w:t>列舉規定，以資明確</w:t>
            </w:r>
            <w:r w:rsidR="005444E3">
              <w:rPr>
                <w:rFonts w:ascii="標楷體" w:eastAsia="標楷體" w:hAnsi="標楷體" w:hint="eastAsia"/>
              </w:rPr>
              <w:t>，並酌做文字修正。</w:t>
            </w:r>
          </w:p>
          <w:p w:rsidR="00137944" w:rsidRPr="00FF728A" w:rsidRDefault="005444E3" w:rsidP="00066046">
            <w:pPr>
              <w:numPr>
                <w:ilvl w:val="0"/>
                <w:numId w:val="14"/>
              </w:numPr>
              <w:ind w:leftChars="50" w:left="687" w:rightChars="50" w:right="120" w:hanging="567"/>
              <w:jc w:val="both"/>
              <w:rPr>
                <w:rFonts w:eastAsia="標楷體" w:hint="eastAsia"/>
              </w:rPr>
            </w:pPr>
            <w:r>
              <w:rPr>
                <w:rFonts w:ascii="標楷體" w:eastAsia="標楷體" w:hAnsi="標楷體" w:hint="eastAsia"/>
              </w:rPr>
              <w:t>另</w:t>
            </w:r>
            <w:r w:rsidR="00137944" w:rsidRPr="000C2072">
              <w:rPr>
                <w:rFonts w:eastAsia="標楷體" w:hint="eastAsia"/>
              </w:rPr>
              <w:t>將各</w:t>
            </w:r>
            <w:r>
              <w:rPr>
                <w:rFonts w:eastAsia="標楷體" w:hint="eastAsia"/>
              </w:rPr>
              <w:t>救濟</w:t>
            </w:r>
            <w:r w:rsidR="00137944" w:rsidRPr="000C2072">
              <w:rPr>
                <w:rFonts w:eastAsia="標楷體" w:hint="eastAsia"/>
              </w:rPr>
              <w:t>項目之裁量基準</w:t>
            </w:r>
            <w:r>
              <w:rPr>
                <w:rFonts w:eastAsia="標楷體" w:hint="eastAsia"/>
              </w:rPr>
              <w:t>增訂</w:t>
            </w:r>
            <w:r w:rsidR="00137944" w:rsidRPr="000C2072">
              <w:rPr>
                <w:rFonts w:eastAsia="標楷體" w:hint="eastAsia"/>
              </w:rPr>
              <w:t>第二項附表「</w:t>
            </w:r>
            <w:r w:rsidR="008A7710" w:rsidRPr="008A7710">
              <w:rPr>
                <w:rFonts w:eastAsia="標楷體" w:hint="eastAsia"/>
              </w:rPr>
              <w:t>預防接種受害救濟給付金額範圍</w:t>
            </w:r>
            <w:r w:rsidR="00137944" w:rsidRPr="000C2072">
              <w:rPr>
                <w:rFonts w:eastAsia="標楷體" w:hint="eastAsia"/>
              </w:rPr>
              <w:t>」，同時參依歷年實際案件審定結果，增訂各項目給付範圍之下限，俾使審議小組於審定給付金額時，有一致且明確之審酌範圍。</w:t>
            </w:r>
          </w:p>
          <w:p w:rsidR="00137944" w:rsidRPr="00F808D5" w:rsidRDefault="00137944" w:rsidP="00066046">
            <w:pPr>
              <w:numPr>
                <w:ilvl w:val="0"/>
                <w:numId w:val="14"/>
              </w:numPr>
              <w:ind w:leftChars="50" w:left="687" w:rightChars="50" w:right="120" w:hanging="567"/>
              <w:jc w:val="both"/>
              <w:rPr>
                <w:rFonts w:eastAsia="標楷體"/>
              </w:rPr>
            </w:pPr>
            <w:r w:rsidRPr="00F808D5">
              <w:rPr>
                <w:rFonts w:eastAsia="標楷體"/>
              </w:rPr>
              <w:t>為反應實務上障礙及嚴重疾病所衍生</w:t>
            </w:r>
            <w:r w:rsidRPr="00F808D5">
              <w:rPr>
                <w:rFonts w:eastAsia="標楷體"/>
              </w:rPr>
              <w:lastRenderedPageBreak/>
              <w:t>之長期醫療照護費用與工作損失情形，爰將障礙給付上限提高至與死亡給付一致；嚴重疾病於相關及無法排除之給付上限則提高至新臺幣</w:t>
            </w:r>
            <w:r w:rsidRPr="00066046">
              <w:rPr>
                <w:rFonts w:eastAsia="標楷體" w:hint="eastAsia"/>
              </w:rPr>
              <w:t>三</w:t>
            </w:r>
            <w:r w:rsidRPr="00066046">
              <w:rPr>
                <w:rFonts w:eastAsia="標楷體"/>
              </w:rPr>
              <w:t>百萬</w:t>
            </w:r>
            <w:r>
              <w:rPr>
                <w:rFonts w:eastAsia="標楷體" w:hint="eastAsia"/>
              </w:rPr>
              <w:t>元</w:t>
            </w:r>
            <w:r w:rsidRPr="00F808D5">
              <w:rPr>
                <w:rFonts w:eastAsia="標楷體"/>
              </w:rPr>
              <w:t>及一百二十萬元</w:t>
            </w:r>
            <w:r w:rsidR="00C159BC">
              <w:rPr>
                <w:rFonts w:eastAsia="標楷體" w:hint="eastAsia"/>
              </w:rPr>
              <w:t>。</w:t>
            </w:r>
            <w:r w:rsidR="00F77F22">
              <w:rPr>
                <w:rFonts w:eastAsia="標楷體" w:hint="eastAsia"/>
              </w:rPr>
              <w:t>另</w:t>
            </w:r>
            <w:r w:rsidR="00720C5B">
              <w:rPr>
                <w:rFonts w:eastAsia="標楷體" w:hint="eastAsia"/>
              </w:rPr>
              <w:t>各款第三目發生</w:t>
            </w:r>
            <w:r w:rsidR="00720C5B" w:rsidRPr="00720C5B">
              <w:rPr>
                <w:rFonts w:eastAsia="標楷體" w:hint="eastAsia"/>
              </w:rPr>
              <w:t>死亡、障礙、嚴重疾病或其他不良反應</w:t>
            </w:r>
            <w:r w:rsidR="00720C5B">
              <w:rPr>
                <w:rFonts w:eastAsia="標楷體" w:hint="eastAsia"/>
              </w:rPr>
              <w:t>與預防接種無因果關係者不予救濟之規定，移列第七條之一第二款</w:t>
            </w:r>
            <w:r w:rsidRPr="00F808D5">
              <w:rPr>
                <w:rFonts w:eastAsia="標楷體"/>
              </w:rPr>
              <w:t>。</w:t>
            </w:r>
          </w:p>
          <w:p w:rsidR="00137944" w:rsidRDefault="00137944" w:rsidP="00066046">
            <w:pPr>
              <w:numPr>
                <w:ilvl w:val="0"/>
                <w:numId w:val="14"/>
              </w:numPr>
              <w:ind w:leftChars="50" w:left="687" w:rightChars="50" w:right="120" w:hanging="567"/>
              <w:jc w:val="both"/>
              <w:rPr>
                <w:rFonts w:eastAsia="標楷體" w:hint="eastAsia"/>
              </w:rPr>
            </w:pPr>
            <w:r w:rsidRPr="00AB7111">
              <w:rPr>
                <w:rFonts w:eastAsia="標楷體"/>
              </w:rPr>
              <w:t>增訂第</w:t>
            </w:r>
            <w:r w:rsidRPr="00AB7111">
              <w:rPr>
                <w:rFonts w:eastAsia="標楷體" w:hint="eastAsia"/>
              </w:rPr>
              <w:t>三</w:t>
            </w:r>
            <w:r w:rsidRPr="00AB7111">
              <w:rPr>
                <w:rFonts w:eastAsia="標楷體"/>
              </w:rPr>
              <w:t>項障礙給付（</w:t>
            </w:r>
            <w:r w:rsidR="005444E3">
              <w:rPr>
                <w:rFonts w:eastAsia="標楷體" w:hint="eastAsia"/>
              </w:rPr>
              <w:t>現行條文</w:t>
            </w:r>
            <w:r w:rsidRPr="00AB7111">
              <w:rPr>
                <w:rFonts w:eastAsia="標楷體"/>
              </w:rPr>
              <w:t>稱身心障礙給付），</w:t>
            </w:r>
            <w:r w:rsidR="005444E3">
              <w:rPr>
                <w:rFonts w:eastAsia="標楷體" w:hint="eastAsia"/>
              </w:rPr>
              <w:t>係</w:t>
            </w:r>
            <w:r w:rsidRPr="00AB7111">
              <w:rPr>
                <w:rFonts w:eastAsia="標楷體"/>
              </w:rPr>
              <w:t>依身心障礙者權益保障法令所定障礙類別、等級認定</w:t>
            </w:r>
            <w:r w:rsidRPr="008533FA">
              <w:rPr>
                <w:rFonts w:eastAsia="標楷體" w:hint="eastAsia"/>
              </w:rPr>
              <w:t>，且不包括轉化症等因心理因素所致之情形</w:t>
            </w:r>
            <w:r w:rsidR="000C2072">
              <w:rPr>
                <w:rFonts w:eastAsia="標楷體" w:hint="eastAsia"/>
              </w:rPr>
              <w:t>，而所稱「轉化症」係指</w:t>
            </w:r>
            <w:r w:rsidR="000C2072" w:rsidRPr="000C2072">
              <w:rPr>
                <w:rFonts w:eastAsia="標楷體" w:hint="eastAsia"/>
              </w:rPr>
              <w:t>沒有藥物、神經病變、或其他器質性病變引起之神經學缺損</w:t>
            </w:r>
            <w:r w:rsidRPr="00AB7111">
              <w:rPr>
                <w:rFonts w:eastAsia="標楷體"/>
              </w:rPr>
              <w:t>。</w:t>
            </w:r>
          </w:p>
          <w:p w:rsidR="00137944" w:rsidRDefault="00137944" w:rsidP="00AB7111">
            <w:pPr>
              <w:numPr>
                <w:ilvl w:val="0"/>
                <w:numId w:val="14"/>
              </w:numPr>
              <w:ind w:leftChars="50" w:left="687" w:rightChars="50" w:right="120" w:hanging="567"/>
              <w:jc w:val="both"/>
              <w:rPr>
                <w:rFonts w:eastAsia="標楷體" w:hint="eastAsia"/>
              </w:rPr>
            </w:pPr>
            <w:r w:rsidRPr="00AB7111">
              <w:rPr>
                <w:rFonts w:eastAsia="標楷體" w:hint="eastAsia"/>
              </w:rPr>
              <w:t>現行條文第二項</w:t>
            </w:r>
            <w:r w:rsidR="005444E3">
              <w:rPr>
                <w:rFonts w:eastAsia="標楷體" w:hint="eastAsia"/>
              </w:rPr>
              <w:t>及第三項，移列為修正條文第四項及</w:t>
            </w:r>
            <w:r w:rsidRPr="00AB7111">
              <w:rPr>
                <w:rFonts w:eastAsia="標楷體" w:hint="eastAsia"/>
              </w:rPr>
              <w:t>第五項。</w:t>
            </w:r>
          </w:p>
          <w:p w:rsidR="000C2072" w:rsidRPr="00FF728A" w:rsidRDefault="00137944" w:rsidP="00D36D9F">
            <w:pPr>
              <w:numPr>
                <w:ilvl w:val="0"/>
                <w:numId w:val="14"/>
              </w:numPr>
              <w:ind w:leftChars="50" w:left="687" w:rightChars="50" w:right="120" w:hanging="567"/>
              <w:jc w:val="both"/>
              <w:rPr>
                <w:rFonts w:eastAsia="標楷體"/>
              </w:rPr>
            </w:pPr>
            <w:r w:rsidRPr="00AB7111">
              <w:rPr>
                <w:rFonts w:eastAsia="標楷體" w:hint="eastAsia"/>
              </w:rPr>
              <w:t>現行條文第一項第五款、第四項</w:t>
            </w:r>
            <w:r w:rsidR="005444E3">
              <w:rPr>
                <w:rFonts w:eastAsia="標楷體" w:hint="eastAsia"/>
              </w:rPr>
              <w:t>及第五項</w:t>
            </w:r>
            <w:r w:rsidR="00D36D9F" w:rsidRPr="00AB7111">
              <w:rPr>
                <w:rFonts w:eastAsia="標楷體" w:hint="eastAsia"/>
              </w:rPr>
              <w:t>予以刪除</w:t>
            </w:r>
            <w:r w:rsidR="005444E3">
              <w:rPr>
                <w:rFonts w:eastAsia="標楷體" w:hint="eastAsia"/>
              </w:rPr>
              <w:t>，移列為</w:t>
            </w:r>
            <w:r w:rsidRPr="00AB7111">
              <w:rPr>
                <w:rFonts w:eastAsia="標楷體" w:hint="eastAsia"/>
              </w:rPr>
              <w:t>修正條文第七條之</w:t>
            </w:r>
            <w:r w:rsidR="00F77F22">
              <w:rPr>
                <w:rFonts w:eastAsia="標楷體" w:hint="eastAsia"/>
              </w:rPr>
              <w:t>二</w:t>
            </w:r>
            <w:r w:rsidRPr="00AB7111">
              <w:rPr>
                <w:rFonts w:eastAsia="標楷體" w:hint="eastAsia"/>
              </w:rPr>
              <w:t>第一款至第三款</w:t>
            </w:r>
            <w:r w:rsidRPr="00AB7111">
              <w:rPr>
                <w:rFonts w:eastAsia="標楷體" w:hint="eastAsia"/>
              </w:rPr>
              <w:lastRenderedPageBreak/>
              <w:t>規定。</w:t>
            </w:r>
          </w:p>
        </w:tc>
      </w:tr>
      <w:tr w:rsidR="002B50EE" w:rsidRPr="00F808D5" w:rsidTr="00CA1408">
        <w:tblPrEx>
          <w:tblCellMar>
            <w:top w:w="0" w:type="dxa"/>
            <w:bottom w:w="0" w:type="dxa"/>
          </w:tblCellMar>
        </w:tblPrEx>
        <w:tc>
          <w:tcPr>
            <w:tcW w:w="2947" w:type="dxa"/>
          </w:tcPr>
          <w:p w:rsidR="002B50EE" w:rsidRPr="00F808D5" w:rsidRDefault="002B50EE" w:rsidP="004F7CC3">
            <w:pPr>
              <w:ind w:left="240" w:rightChars="50" w:right="120" w:hangingChars="100" w:hanging="240"/>
              <w:jc w:val="both"/>
              <w:rPr>
                <w:rFonts w:eastAsia="標楷體"/>
              </w:rPr>
            </w:pPr>
            <w:r w:rsidRPr="00F808D5">
              <w:rPr>
                <w:rFonts w:eastAsia="標楷體"/>
              </w:rPr>
              <w:lastRenderedPageBreak/>
              <w:t>第七條之</w:t>
            </w:r>
            <w:r>
              <w:rPr>
                <w:rFonts w:eastAsia="標楷體" w:hint="eastAsia"/>
              </w:rPr>
              <w:t>一</w:t>
            </w:r>
            <w:r w:rsidRPr="00F808D5">
              <w:rPr>
                <w:rFonts w:eastAsia="標楷體"/>
              </w:rPr>
              <w:t xml:space="preserve">　預防接種受害救濟案件，有下列各款情事者，不予救濟：</w:t>
            </w:r>
          </w:p>
          <w:p w:rsidR="002B50EE" w:rsidRPr="00F808D5" w:rsidRDefault="002B50EE" w:rsidP="007354F0">
            <w:pPr>
              <w:ind w:leftChars="100" w:left="720" w:rightChars="20" w:right="48" w:hangingChars="200" w:hanging="480"/>
              <w:jc w:val="both"/>
              <w:rPr>
                <w:rFonts w:eastAsia="標楷體"/>
                <w:kern w:val="0"/>
              </w:rPr>
            </w:pPr>
            <w:r w:rsidRPr="00F808D5">
              <w:rPr>
                <w:rFonts w:eastAsia="標楷體"/>
                <w:kern w:val="0"/>
              </w:rPr>
              <w:t>一、逾本法第三十條第二項所定期間。</w:t>
            </w:r>
          </w:p>
          <w:p w:rsidR="00500B32" w:rsidRDefault="00562E4D" w:rsidP="005540F2">
            <w:pPr>
              <w:ind w:leftChars="100" w:left="720" w:rightChars="20" w:right="48" w:hangingChars="200" w:hanging="480"/>
              <w:jc w:val="both"/>
              <w:rPr>
                <w:rFonts w:eastAsia="標楷體" w:hint="eastAsia"/>
                <w:kern w:val="0"/>
              </w:rPr>
            </w:pPr>
            <w:r>
              <w:rPr>
                <w:rFonts w:eastAsia="標楷體" w:hint="eastAsia"/>
                <w:kern w:val="0"/>
              </w:rPr>
              <w:t>二</w:t>
            </w:r>
            <w:r w:rsidR="002B50EE" w:rsidRPr="00F808D5">
              <w:rPr>
                <w:rFonts w:eastAsia="標楷體"/>
                <w:kern w:val="0"/>
              </w:rPr>
              <w:t>、</w:t>
            </w:r>
            <w:r w:rsidR="00500B32">
              <w:rPr>
                <w:rFonts w:eastAsia="標楷體" w:hint="eastAsia"/>
                <w:kern w:val="0"/>
              </w:rPr>
              <w:t>發生死亡、障礙、嚴重疾病或其他不良反應與預防接種確定無因果關係。</w:t>
            </w:r>
          </w:p>
          <w:p w:rsidR="002B50EE" w:rsidRPr="00F808D5" w:rsidRDefault="00500B32" w:rsidP="005540F2">
            <w:pPr>
              <w:ind w:leftChars="100" w:left="720" w:rightChars="20" w:right="48" w:hangingChars="200" w:hanging="480"/>
              <w:jc w:val="both"/>
              <w:rPr>
                <w:rFonts w:eastAsia="標楷體"/>
                <w:kern w:val="0"/>
              </w:rPr>
            </w:pPr>
            <w:r>
              <w:rPr>
                <w:rFonts w:eastAsia="標楷體" w:hint="eastAsia"/>
                <w:kern w:val="0"/>
              </w:rPr>
              <w:t>三、</w:t>
            </w:r>
            <w:r w:rsidR="002B50EE" w:rsidRPr="00F808D5">
              <w:rPr>
                <w:rFonts w:eastAsia="標楷體"/>
                <w:kern w:val="0"/>
              </w:rPr>
              <w:t>常見、輕微或可預期之預防接種不良反應。</w:t>
            </w:r>
          </w:p>
          <w:p w:rsidR="002B50EE" w:rsidRPr="00F808D5" w:rsidRDefault="00500B32" w:rsidP="005540F2">
            <w:pPr>
              <w:ind w:leftChars="100" w:left="720" w:rightChars="20" w:right="48" w:hangingChars="200" w:hanging="480"/>
              <w:jc w:val="both"/>
              <w:rPr>
                <w:rFonts w:eastAsia="標楷體"/>
                <w:kern w:val="0"/>
              </w:rPr>
            </w:pPr>
            <w:r>
              <w:rPr>
                <w:rFonts w:eastAsia="標楷體" w:hint="eastAsia"/>
                <w:kern w:val="0"/>
              </w:rPr>
              <w:t>四</w:t>
            </w:r>
            <w:r w:rsidR="002B50EE" w:rsidRPr="00F808D5">
              <w:rPr>
                <w:rFonts w:eastAsia="標楷體"/>
                <w:kern w:val="0"/>
              </w:rPr>
              <w:t>、</w:t>
            </w:r>
            <w:r w:rsidR="002B50EE" w:rsidRPr="00F808D5">
              <w:rPr>
                <w:rFonts w:eastAsia="標楷體"/>
              </w:rPr>
              <w:t>轉化症等因心理因素所致之障礙。</w:t>
            </w:r>
          </w:p>
          <w:p w:rsidR="002B50EE" w:rsidRPr="00F808D5" w:rsidRDefault="009C25E9" w:rsidP="000C2072">
            <w:pPr>
              <w:ind w:leftChars="100" w:left="720" w:rightChars="20" w:right="48" w:hangingChars="200" w:hanging="480"/>
              <w:jc w:val="both"/>
              <w:rPr>
                <w:rFonts w:eastAsia="標楷體"/>
                <w:kern w:val="0"/>
              </w:rPr>
            </w:pPr>
            <w:r>
              <w:rPr>
                <w:rFonts w:eastAsia="標楷體" w:hint="eastAsia"/>
                <w:kern w:val="0"/>
              </w:rPr>
              <w:t>五</w:t>
            </w:r>
            <w:r w:rsidR="002B50EE" w:rsidRPr="00F808D5">
              <w:rPr>
                <w:rFonts w:eastAsia="標楷體"/>
                <w:kern w:val="0"/>
              </w:rPr>
              <w:t>、因證據不足致無法認定。</w:t>
            </w:r>
          </w:p>
          <w:p w:rsidR="004C51CA" w:rsidRPr="00F808D5" w:rsidRDefault="009C25E9" w:rsidP="004329D3">
            <w:pPr>
              <w:ind w:leftChars="100" w:left="720" w:rightChars="20" w:right="48" w:hangingChars="200" w:hanging="480"/>
              <w:jc w:val="both"/>
              <w:rPr>
                <w:rFonts w:eastAsia="標楷體" w:hint="eastAsia"/>
              </w:rPr>
            </w:pPr>
            <w:r>
              <w:rPr>
                <w:rFonts w:eastAsia="標楷體" w:hint="eastAsia"/>
                <w:kern w:val="0"/>
              </w:rPr>
              <w:t>六</w:t>
            </w:r>
            <w:r w:rsidR="002B50EE" w:rsidRPr="00F808D5">
              <w:rPr>
                <w:rFonts w:eastAsia="標楷體"/>
                <w:kern w:val="0"/>
              </w:rPr>
              <w:t>、非因預防接種目的使用疫苗致生</w:t>
            </w:r>
            <w:r w:rsidR="001A235F">
              <w:rPr>
                <w:rFonts w:eastAsia="標楷體" w:hint="eastAsia"/>
                <w:kern w:val="0"/>
              </w:rPr>
              <w:t>損害</w:t>
            </w:r>
            <w:r w:rsidR="002B50EE" w:rsidRPr="00F808D5">
              <w:rPr>
                <w:rFonts w:eastAsia="標楷體"/>
                <w:kern w:val="0"/>
              </w:rPr>
              <w:t>。</w:t>
            </w:r>
          </w:p>
        </w:tc>
        <w:tc>
          <w:tcPr>
            <w:tcW w:w="2948" w:type="dxa"/>
          </w:tcPr>
          <w:p w:rsidR="002B50EE" w:rsidRPr="00F808D5" w:rsidRDefault="002B50EE" w:rsidP="00863E8A">
            <w:pPr>
              <w:ind w:left="240" w:rightChars="50" w:right="120" w:hangingChars="100" w:hanging="240"/>
              <w:jc w:val="both"/>
              <w:rPr>
                <w:rFonts w:eastAsia="標楷體"/>
              </w:rPr>
            </w:pPr>
          </w:p>
        </w:tc>
        <w:tc>
          <w:tcPr>
            <w:tcW w:w="2948" w:type="dxa"/>
          </w:tcPr>
          <w:p w:rsidR="00B2622F" w:rsidRPr="00066046" w:rsidRDefault="002B50EE" w:rsidP="00066046">
            <w:pPr>
              <w:numPr>
                <w:ilvl w:val="0"/>
                <w:numId w:val="11"/>
              </w:numPr>
              <w:ind w:leftChars="50" w:left="687" w:rightChars="50" w:right="120" w:hanging="567"/>
              <w:jc w:val="both"/>
              <w:rPr>
                <w:rFonts w:eastAsia="標楷體" w:hint="eastAsia"/>
                <w:u w:val="single"/>
              </w:rPr>
            </w:pPr>
            <w:r w:rsidRPr="00F808D5">
              <w:rPr>
                <w:rFonts w:eastAsia="標楷體"/>
                <w:u w:val="single"/>
              </w:rPr>
              <w:t>本條新增</w:t>
            </w:r>
            <w:r w:rsidRPr="00F808D5">
              <w:rPr>
                <w:rFonts w:eastAsia="標楷體"/>
              </w:rPr>
              <w:t>。</w:t>
            </w:r>
          </w:p>
          <w:p w:rsidR="002B50EE" w:rsidRPr="00F808D5" w:rsidRDefault="002B50EE" w:rsidP="00066046">
            <w:pPr>
              <w:numPr>
                <w:ilvl w:val="0"/>
                <w:numId w:val="11"/>
              </w:numPr>
              <w:ind w:leftChars="50" w:left="687" w:rightChars="50" w:right="120" w:hanging="567"/>
              <w:jc w:val="both"/>
              <w:rPr>
                <w:rFonts w:eastAsia="標楷體"/>
                <w:u w:val="single"/>
              </w:rPr>
            </w:pPr>
            <w:r w:rsidRPr="00F808D5">
              <w:rPr>
                <w:rFonts w:eastAsia="標楷體"/>
              </w:rPr>
              <w:t>為使預防接種受害救濟資源有效運用，申請案件符合本條各款要件者，不予救濟。</w:t>
            </w:r>
          </w:p>
        </w:tc>
      </w:tr>
      <w:tr w:rsidR="002B50EE" w:rsidRPr="00F808D5" w:rsidTr="00CA1408">
        <w:tblPrEx>
          <w:tblCellMar>
            <w:top w:w="0" w:type="dxa"/>
            <w:bottom w:w="0" w:type="dxa"/>
          </w:tblCellMar>
        </w:tblPrEx>
        <w:tc>
          <w:tcPr>
            <w:tcW w:w="2947" w:type="dxa"/>
          </w:tcPr>
          <w:p w:rsidR="002B50EE" w:rsidRPr="00D36D9F" w:rsidRDefault="002B50EE" w:rsidP="004F7CC3">
            <w:pPr>
              <w:ind w:left="240" w:rightChars="50" w:right="120" w:hangingChars="100" w:hanging="240"/>
              <w:jc w:val="both"/>
              <w:rPr>
                <w:rFonts w:eastAsia="標楷體"/>
              </w:rPr>
            </w:pPr>
            <w:r w:rsidRPr="00F808D5">
              <w:rPr>
                <w:rFonts w:eastAsia="標楷體"/>
              </w:rPr>
              <w:t>第七條</w:t>
            </w:r>
            <w:r w:rsidRPr="00D36D9F">
              <w:rPr>
                <w:rFonts w:eastAsia="標楷體"/>
              </w:rPr>
              <w:t>之</w:t>
            </w:r>
            <w:r w:rsidRPr="00D36D9F">
              <w:rPr>
                <w:rFonts w:eastAsia="標楷體" w:hint="eastAsia"/>
              </w:rPr>
              <w:t>二</w:t>
            </w:r>
            <w:r w:rsidRPr="00F808D5">
              <w:rPr>
                <w:rFonts w:eastAsia="標楷體"/>
              </w:rPr>
              <w:t xml:space="preserve">　</w:t>
            </w:r>
            <w:r w:rsidRPr="00D36D9F">
              <w:rPr>
                <w:rFonts w:eastAsia="標楷體"/>
              </w:rPr>
              <w:t>預防接種受害救濟案件，有下列各款情事者，得酌予補助：</w:t>
            </w:r>
          </w:p>
          <w:p w:rsidR="002B50EE" w:rsidRPr="00D36D9F" w:rsidRDefault="002B50EE" w:rsidP="007354F0">
            <w:pPr>
              <w:ind w:leftChars="100" w:left="720" w:rightChars="20" w:right="48" w:hangingChars="200" w:hanging="480"/>
              <w:jc w:val="both"/>
              <w:rPr>
                <w:rFonts w:eastAsia="標楷體"/>
                <w:kern w:val="0"/>
              </w:rPr>
            </w:pPr>
            <w:r w:rsidRPr="00D36D9F">
              <w:rPr>
                <w:rFonts w:eastAsia="標楷體"/>
                <w:kern w:val="0"/>
              </w:rPr>
              <w:t>一、</w:t>
            </w:r>
            <w:r w:rsidRPr="00D36D9F">
              <w:rPr>
                <w:rFonts w:eastAsia="標楷體" w:hint="eastAsia"/>
                <w:kern w:val="0"/>
              </w:rPr>
              <w:t>疑因</w:t>
            </w:r>
            <w:r w:rsidRPr="00D36D9F">
              <w:rPr>
                <w:rFonts w:eastAsia="標楷體"/>
                <w:kern w:val="0"/>
              </w:rPr>
              <w:t>預防接種</w:t>
            </w:r>
            <w:r w:rsidRPr="00D36D9F">
              <w:rPr>
                <w:rFonts w:eastAsia="標楷體" w:hint="eastAsia"/>
                <w:kern w:val="0"/>
              </w:rPr>
              <w:t>致</w:t>
            </w:r>
            <w:r w:rsidRPr="00D36D9F">
              <w:rPr>
                <w:rFonts w:eastAsia="標楷體"/>
                <w:kern w:val="0"/>
              </w:rPr>
              <w:t>嚴重不良反應症狀，經審議與預防接種無關</w:t>
            </w:r>
            <w:r w:rsidRPr="00D36D9F">
              <w:rPr>
                <w:rFonts w:eastAsia="標楷體"/>
                <w:kern w:val="0"/>
              </w:rPr>
              <w:lastRenderedPageBreak/>
              <w:t>者，得依其為釐清症狀與預防接種之關係</w:t>
            </w:r>
            <w:r w:rsidRPr="00D36D9F">
              <w:rPr>
                <w:rFonts w:eastAsia="標楷體" w:hint="eastAsia"/>
                <w:kern w:val="0"/>
              </w:rPr>
              <w:t>，</w:t>
            </w:r>
            <w:r w:rsidRPr="00D36D9F">
              <w:rPr>
                <w:rFonts w:eastAsia="標楷體"/>
                <w:kern w:val="0"/>
              </w:rPr>
              <w:t>所施行</w:t>
            </w:r>
            <w:r w:rsidRPr="00D36D9F">
              <w:rPr>
                <w:rFonts w:eastAsia="標楷體" w:hint="eastAsia"/>
                <w:kern w:val="0"/>
              </w:rPr>
              <w:t>之</w:t>
            </w:r>
            <w:r w:rsidRPr="00D36D9F">
              <w:rPr>
                <w:rFonts w:eastAsia="標楷體"/>
                <w:kern w:val="0"/>
              </w:rPr>
              <w:t>合理檢查及醫療費用，最高給予新臺幣二十萬元。</w:t>
            </w:r>
          </w:p>
          <w:p w:rsidR="002B50EE" w:rsidRPr="00D36D9F" w:rsidRDefault="002B50EE" w:rsidP="005540F2">
            <w:pPr>
              <w:ind w:leftChars="100" w:left="720" w:rightChars="20" w:right="48" w:hangingChars="200" w:hanging="480"/>
              <w:jc w:val="both"/>
              <w:rPr>
                <w:rFonts w:eastAsia="標楷體"/>
                <w:kern w:val="0"/>
              </w:rPr>
            </w:pPr>
            <w:r w:rsidRPr="00D36D9F">
              <w:rPr>
                <w:rFonts w:eastAsia="標楷體"/>
                <w:kern w:val="0"/>
              </w:rPr>
              <w:t>二、疑因預防接種受害致死，並經病理解剖者，給付喪葬補助費新臺幣三十萬元。</w:t>
            </w:r>
          </w:p>
          <w:p w:rsidR="004C51CA" w:rsidRPr="00F808D5" w:rsidRDefault="002B50EE" w:rsidP="004329D3">
            <w:pPr>
              <w:ind w:leftChars="100" w:left="720" w:rightChars="20" w:right="48" w:hangingChars="200" w:hanging="480"/>
              <w:jc w:val="both"/>
              <w:rPr>
                <w:rFonts w:eastAsia="標楷體" w:hint="eastAsia"/>
                <w:kern w:val="0"/>
              </w:rPr>
            </w:pPr>
            <w:r w:rsidRPr="00D36D9F">
              <w:rPr>
                <w:rFonts w:eastAsia="標楷體"/>
                <w:kern w:val="0"/>
              </w:rPr>
              <w:t>三、疑因預防接種致死產或流產</w:t>
            </w:r>
            <w:r w:rsidRPr="00D36D9F">
              <w:rPr>
                <w:rFonts w:eastAsia="標楷體" w:hint="eastAsia"/>
                <w:kern w:val="0"/>
              </w:rPr>
              <w:t>之</w:t>
            </w:r>
            <w:r w:rsidRPr="00D36D9F">
              <w:rPr>
                <w:rFonts w:eastAsia="標楷體"/>
                <w:kern w:val="0"/>
              </w:rPr>
              <w:t>孕婦，其胎兒或胚胎經解剖或檢驗</w:t>
            </w:r>
            <w:r w:rsidRPr="00F808D5">
              <w:rPr>
                <w:rFonts w:eastAsia="標楷體"/>
                <w:kern w:val="0"/>
              </w:rPr>
              <w:t>，孕程滿二十週以上者，給付新臺幣十萬元；孕程未滿二十週者，給付新臺幣五萬元。</w:t>
            </w:r>
          </w:p>
        </w:tc>
        <w:tc>
          <w:tcPr>
            <w:tcW w:w="2948" w:type="dxa"/>
          </w:tcPr>
          <w:p w:rsidR="0096773D" w:rsidRPr="00F808D5" w:rsidRDefault="0096773D" w:rsidP="0096773D">
            <w:pPr>
              <w:ind w:left="240" w:rightChars="50" w:right="120" w:hangingChars="100" w:hanging="240"/>
              <w:jc w:val="both"/>
              <w:rPr>
                <w:rFonts w:eastAsia="標楷體" w:hint="eastAsia"/>
              </w:rPr>
            </w:pPr>
          </w:p>
        </w:tc>
        <w:tc>
          <w:tcPr>
            <w:tcW w:w="2948" w:type="dxa"/>
          </w:tcPr>
          <w:p w:rsidR="00D36D9F" w:rsidRDefault="00D36D9F" w:rsidP="00D36D9F">
            <w:pPr>
              <w:numPr>
                <w:ilvl w:val="0"/>
                <w:numId w:val="15"/>
              </w:numPr>
              <w:ind w:leftChars="50" w:left="687" w:rightChars="50" w:right="120" w:hanging="567"/>
              <w:jc w:val="both"/>
              <w:rPr>
                <w:rFonts w:eastAsia="標楷體" w:hint="eastAsia"/>
              </w:rPr>
            </w:pPr>
            <w:r w:rsidRPr="000C2072">
              <w:rPr>
                <w:rFonts w:eastAsia="標楷體"/>
                <w:u w:val="single"/>
              </w:rPr>
              <w:t>本條新增</w:t>
            </w:r>
            <w:r w:rsidRPr="007354F0">
              <w:rPr>
                <w:rFonts w:eastAsia="標楷體"/>
              </w:rPr>
              <w:t>。</w:t>
            </w:r>
          </w:p>
          <w:p w:rsidR="00DE2DB3" w:rsidRDefault="00DE2DB3" w:rsidP="00DE2DB3">
            <w:pPr>
              <w:numPr>
                <w:ilvl w:val="0"/>
                <w:numId w:val="15"/>
              </w:numPr>
              <w:ind w:leftChars="50" w:left="687" w:rightChars="50" w:right="120" w:hanging="567"/>
              <w:jc w:val="both"/>
              <w:rPr>
                <w:rFonts w:eastAsia="標楷體" w:hint="eastAsia"/>
              </w:rPr>
            </w:pPr>
            <w:r>
              <w:rPr>
                <w:rFonts w:eastAsia="標楷體" w:hint="eastAsia"/>
              </w:rPr>
              <w:t>修正條文係</w:t>
            </w:r>
            <w:r w:rsidRPr="007354F0">
              <w:rPr>
                <w:rFonts w:eastAsia="標楷體"/>
              </w:rPr>
              <w:t>由現行條文第七條第一項第五款、第四項及第五項之補助項目移列</w:t>
            </w:r>
            <w:r w:rsidRPr="005540F2">
              <w:rPr>
                <w:rFonts w:eastAsia="標楷體"/>
              </w:rPr>
              <w:t>。</w:t>
            </w:r>
          </w:p>
          <w:p w:rsidR="00DE2DB3" w:rsidRPr="007354F0" w:rsidRDefault="00DE2DB3" w:rsidP="00DE2DB3">
            <w:pPr>
              <w:numPr>
                <w:ilvl w:val="0"/>
                <w:numId w:val="15"/>
              </w:numPr>
              <w:ind w:leftChars="50" w:left="687" w:rightChars="50" w:right="120" w:hanging="567"/>
              <w:jc w:val="both"/>
              <w:rPr>
                <w:rFonts w:eastAsia="標楷體"/>
              </w:rPr>
            </w:pPr>
            <w:r w:rsidRPr="00F808D5">
              <w:rPr>
                <w:rFonts w:eastAsia="標楷體"/>
              </w:rPr>
              <w:lastRenderedPageBreak/>
              <w:t>配合審議實務，明定第一款醫療補助，以經審議其症狀與預防接種無關者為限。又為反</w:t>
            </w:r>
            <w:r>
              <w:rPr>
                <w:rFonts w:eastAsia="標楷體" w:hint="eastAsia"/>
              </w:rPr>
              <w:t>映</w:t>
            </w:r>
            <w:r w:rsidRPr="00F808D5">
              <w:rPr>
                <w:rFonts w:eastAsia="標楷體"/>
              </w:rPr>
              <w:t>相關合理檢查及醫療所需之可能費用，提高補助上限至二十萬元。</w:t>
            </w:r>
          </w:p>
          <w:p w:rsidR="002B50EE" w:rsidRPr="00DE2DB3" w:rsidRDefault="002B50EE" w:rsidP="00066046">
            <w:pPr>
              <w:ind w:rightChars="50" w:right="120"/>
              <w:jc w:val="both"/>
              <w:rPr>
                <w:rFonts w:eastAsia="標楷體"/>
              </w:rPr>
            </w:pPr>
          </w:p>
        </w:tc>
      </w:tr>
      <w:tr w:rsidR="005540F2" w:rsidRPr="007732CB" w:rsidTr="00CA1408">
        <w:tblPrEx>
          <w:tblCellMar>
            <w:top w:w="0" w:type="dxa"/>
            <w:bottom w:w="0" w:type="dxa"/>
          </w:tblCellMar>
        </w:tblPrEx>
        <w:tc>
          <w:tcPr>
            <w:tcW w:w="2947" w:type="dxa"/>
          </w:tcPr>
          <w:p w:rsidR="005540F2" w:rsidRPr="005540F2" w:rsidRDefault="005540F2" w:rsidP="000C2072">
            <w:pPr>
              <w:ind w:left="240" w:rightChars="50" w:right="120" w:hangingChars="100" w:hanging="240"/>
              <w:jc w:val="both"/>
              <w:rPr>
                <w:rFonts w:eastAsia="標楷體" w:hint="eastAsia"/>
              </w:rPr>
            </w:pPr>
            <w:r w:rsidRPr="005540F2">
              <w:rPr>
                <w:rFonts w:eastAsia="標楷體" w:hint="eastAsia"/>
              </w:rPr>
              <w:lastRenderedPageBreak/>
              <w:t xml:space="preserve">第八條　</w:t>
            </w:r>
            <w:r w:rsidR="007E26BA" w:rsidRPr="00066046">
              <w:rPr>
                <w:rFonts w:eastAsia="標楷體" w:hint="eastAsia"/>
                <w:u w:val="single"/>
              </w:rPr>
              <w:t>第七</w:t>
            </w:r>
            <w:r w:rsidRPr="005540F2">
              <w:rPr>
                <w:rFonts w:eastAsia="標楷體" w:hint="eastAsia"/>
              </w:rPr>
              <w:t>條預防接種受害救濟之請求權人如下：</w:t>
            </w:r>
          </w:p>
          <w:p w:rsidR="005540F2" w:rsidRPr="00066046" w:rsidRDefault="005540F2" w:rsidP="00066046">
            <w:pPr>
              <w:ind w:leftChars="100" w:left="720" w:rightChars="20" w:right="48" w:hangingChars="200" w:hanging="480"/>
              <w:jc w:val="both"/>
              <w:rPr>
                <w:rFonts w:eastAsia="標楷體" w:hint="eastAsia"/>
                <w:kern w:val="0"/>
              </w:rPr>
            </w:pPr>
            <w:r w:rsidRPr="00066046">
              <w:rPr>
                <w:rFonts w:eastAsia="標楷體" w:hint="eastAsia"/>
                <w:kern w:val="0"/>
              </w:rPr>
              <w:t>一、</w:t>
            </w:r>
            <w:r w:rsidR="00CC408C" w:rsidRPr="00066046">
              <w:rPr>
                <w:rFonts w:eastAsia="標楷體" w:hint="eastAsia"/>
                <w:kern w:val="0"/>
                <w:u w:val="single"/>
              </w:rPr>
              <w:t>第七</w:t>
            </w:r>
            <w:r w:rsidRPr="00066046">
              <w:rPr>
                <w:rFonts w:eastAsia="標楷體" w:hint="eastAsia"/>
                <w:kern w:val="0"/>
              </w:rPr>
              <w:t>條第一項第一款：受害人之法定繼承人。</w:t>
            </w:r>
          </w:p>
          <w:p w:rsidR="005540F2" w:rsidRPr="00066046" w:rsidRDefault="005540F2" w:rsidP="00066046">
            <w:pPr>
              <w:ind w:leftChars="100" w:left="720" w:rightChars="20" w:right="48" w:hangingChars="200" w:hanging="480"/>
              <w:jc w:val="both"/>
              <w:rPr>
                <w:rFonts w:eastAsia="標楷體" w:hint="eastAsia"/>
                <w:kern w:val="0"/>
              </w:rPr>
            </w:pPr>
            <w:r w:rsidRPr="00066046">
              <w:rPr>
                <w:rFonts w:eastAsia="標楷體" w:hint="eastAsia"/>
                <w:kern w:val="0"/>
              </w:rPr>
              <w:t>二、</w:t>
            </w:r>
            <w:r w:rsidR="00CC408C" w:rsidRPr="00B55EBE">
              <w:rPr>
                <w:rFonts w:eastAsia="標楷體" w:hint="eastAsia"/>
                <w:kern w:val="0"/>
                <w:u w:val="single"/>
              </w:rPr>
              <w:t>第七</w:t>
            </w:r>
            <w:r w:rsidRPr="00066046">
              <w:rPr>
                <w:rFonts w:eastAsia="標楷體" w:hint="eastAsia"/>
                <w:kern w:val="0"/>
              </w:rPr>
              <w:t>條第一項第二款至第</w:t>
            </w:r>
            <w:r w:rsidR="00551B35" w:rsidRPr="00066046">
              <w:rPr>
                <w:rFonts w:eastAsia="標楷體" w:hint="eastAsia"/>
                <w:kern w:val="0"/>
                <w:u w:val="single"/>
              </w:rPr>
              <w:t>四</w:t>
            </w:r>
            <w:r w:rsidRPr="00066046">
              <w:rPr>
                <w:rFonts w:eastAsia="標楷體" w:hint="eastAsia"/>
                <w:kern w:val="0"/>
              </w:rPr>
              <w:t>款：受害人本人。</w:t>
            </w:r>
          </w:p>
          <w:p w:rsidR="005540F2" w:rsidRPr="00F808D5" w:rsidRDefault="005540F2" w:rsidP="00066046">
            <w:pPr>
              <w:ind w:leftChars="100" w:left="240" w:rightChars="50" w:right="120" w:firstLineChars="200" w:firstLine="480"/>
              <w:jc w:val="both"/>
              <w:rPr>
                <w:rFonts w:eastAsia="標楷體"/>
              </w:rPr>
            </w:pPr>
            <w:r w:rsidRPr="005540F2">
              <w:rPr>
                <w:rFonts w:eastAsia="標楷體" w:hint="eastAsia"/>
              </w:rPr>
              <w:t>關於死亡給付，依民法相關規定辦理。</w:t>
            </w:r>
          </w:p>
        </w:tc>
        <w:tc>
          <w:tcPr>
            <w:tcW w:w="2948" w:type="dxa"/>
          </w:tcPr>
          <w:p w:rsidR="005540F2" w:rsidRPr="005540F2" w:rsidRDefault="00EF3CC6" w:rsidP="005540F2">
            <w:pPr>
              <w:ind w:left="240" w:rightChars="50" w:right="120" w:hangingChars="100" w:hanging="240"/>
              <w:jc w:val="both"/>
              <w:rPr>
                <w:rFonts w:eastAsia="標楷體" w:hint="eastAsia"/>
              </w:rPr>
            </w:pPr>
            <w:r>
              <w:rPr>
                <w:rFonts w:eastAsia="標楷體" w:hint="eastAsia"/>
              </w:rPr>
              <w:t xml:space="preserve">第八條　</w:t>
            </w:r>
            <w:r w:rsidR="005540F2" w:rsidRPr="005540F2">
              <w:rPr>
                <w:rFonts w:eastAsia="標楷體" w:hint="eastAsia"/>
              </w:rPr>
              <w:t>前條預防接種受害救濟之請求權人如下：</w:t>
            </w:r>
          </w:p>
          <w:p w:rsidR="005540F2" w:rsidRPr="00B55EBE" w:rsidRDefault="005540F2" w:rsidP="000C2072">
            <w:pPr>
              <w:ind w:leftChars="100" w:left="720" w:rightChars="20" w:right="48" w:hangingChars="200" w:hanging="480"/>
              <w:jc w:val="both"/>
              <w:rPr>
                <w:rFonts w:eastAsia="標楷體" w:hint="eastAsia"/>
                <w:kern w:val="0"/>
              </w:rPr>
            </w:pPr>
            <w:r w:rsidRPr="00B55EBE">
              <w:rPr>
                <w:rFonts w:eastAsia="標楷體" w:hint="eastAsia"/>
                <w:kern w:val="0"/>
              </w:rPr>
              <w:t>一、前條第一項第一款：受害人之法定繼承人。</w:t>
            </w:r>
          </w:p>
          <w:p w:rsidR="005540F2" w:rsidRPr="00B55EBE" w:rsidRDefault="005540F2" w:rsidP="00FF728A">
            <w:pPr>
              <w:ind w:leftChars="100" w:left="720" w:rightChars="20" w:right="48" w:hangingChars="200" w:hanging="480"/>
              <w:jc w:val="both"/>
              <w:rPr>
                <w:rFonts w:eastAsia="標楷體" w:hint="eastAsia"/>
                <w:kern w:val="0"/>
              </w:rPr>
            </w:pPr>
            <w:r w:rsidRPr="00B55EBE">
              <w:rPr>
                <w:rFonts w:eastAsia="標楷體" w:hint="eastAsia"/>
                <w:kern w:val="0"/>
              </w:rPr>
              <w:t>二、前條第一項第二款至第五款：受害人本人</w:t>
            </w:r>
            <w:r w:rsidRPr="00066046">
              <w:rPr>
                <w:rFonts w:eastAsia="標楷體" w:hint="eastAsia"/>
                <w:kern w:val="0"/>
                <w:u w:val="single"/>
              </w:rPr>
              <w:t>或其法定代理人</w:t>
            </w:r>
            <w:r w:rsidRPr="00B55EBE">
              <w:rPr>
                <w:rFonts w:eastAsia="標楷體" w:hint="eastAsia"/>
                <w:kern w:val="0"/>
              </w:rPr>
              <w:t>。</w:t>
            </w:r>
          </w:p>
          <w:p w:rsidR="005540F2" w:rsidRPr="000C2072" w:rsidRDefault="005540F2" w:rsidP="00066046">
            <w:pPr>
              <w:ind w:leftChars="100" w:left="240" w:rightChars="50" w:right="120" w:firstLineChars="200" w:firstLine="480"/>
              <w:jc w:val="both"/>
              <w:rPr>
                <w:rFonts w:eastAsia="標楷體"/>
              </w:rPr>
            </w:pPr>
            <w:r w:rsidRPr="005540F2">
              <w:rPr>
                <w:rFonts w:eastAsia="標楷體" w:hint="eastAsia"/>
              </w:rPr>
              <w:t>關於死亡給付，依民法相關規定辦理。</w:t>
            </w:r>
          </w:p>
        </w:tc>
        <w:tc>
          <w:tcPr>
            <w:tcW w:w="2948" w:type="dxa"/>
          </w:tcPr>
          <w:p w:rsidR="00551B35" w:rsidRDefault="00551B35" w:rsidP="00066046">
            <w:pPr>
              <w:numPr>
                <w:ilvl w:val="0"/>
                <w:numId w:val="17"/>
              </w:numPr>
              <w:ind w:leftChars="50" w:left="687" w:rightChars="50" w:right="120" w:hanging="567"/>
              <w:jc w:val="both"/>
              <w:rPr>
                <w:rFonts w:eastAsia="標楷體" w:hint="eastAsia"/>
              </w:rPr>
            </w:pPr>
            <w:r w:rsidRPr="00377B0B">
              <w:rPr>
                <w:rFonts w:eastAsia="標楷體" w:hint="eastAsia"/>
              </w:rPr>
              <w:t>配合條次變更，修正援引條次</w:t>
            </w:r>
            <w:r w:rsidR="00EF3CC6">
              <w:rPr>
                <w:rFonts w:eastAsia="標楷體" w:hint="eastAsia"/>
              </w:rPr>
              <w:t>為第七條</w:t>
            </w:r>
            <w:r w:rsidRPr="00377B0B">
              <w:rPr>
                <w:rFonts w:eastAsia="標楷體" w:hint="eastAsia"/>
              </w:rPr>
              <w:t>。</w:t>
            </w:r>
          </w:p>
          <w:p w:rsidR="005540F2" w:rsidRPr="00FF728A" w:rsidRDefault="006F7AF9" w:rsidP="007732CB">
            <w:pPr>
              <w:numPr>
                <w:ilvl w:val="0"/>
                <w:numId w:val="17"/>
              </w:numPr>
              <w:ind w:leftChars="50" w:left="687" w:rightChars="50" w:right="120" w:hanging="567"/>
              <w:jc w:val="both"/>
              <w:rPr>
                <w:rFonts w:eastAsia="標楷體"/>
              </w:rPr>
            </w:pPr>
            <w:r>
              <w:rPr>
                <w:rFonts w:eastAsia="標楷體" w:hint="eastAsia"/>
              </w:rPr>
              <w:t>第一項第二款有關</w:t>
            </w:r>
            <w:r w:rsidR="00551B35" w:rsidRPr="000C2072">
              <w:rPr>
                <w:rFonts w:eastAsia="標楷體" w:hint="eastAsia"/>
              </w:rPr>
              <w:t>第七條第一項第</w:t>
            </w:r>
            <w:r w:rsidR="0012222F">
              <w:rPr>
                <w:rFonts w:eastAsia="標楷體" w:hint="eastAsia"/>
              </w:rPr>
              <w:t>二</w:t>
            </w:r>
            <w:r w:rsidR="00551B35" w:rsidRPr="000C2072">
              <w:rPr>
                <w:rFonts w:eastAsia="標楷體" w:hint="eastAsia"/>
              </w:rPr>
              <w:t>款至第四款</w:t>
            </w:r>
            <w:r w:rsidR="00551B35" w:rsidRPr="00FF728A">
              <w:rPr>
                <w:rFonts w:eastAsia="標楷體" w:hint="eastAsia"/>
              </w:rPr>
              <w:t>之請求權</w:t>
            </w:r>
            <w:r w:rsidR="00185E6F">
              <w:rPr>
                <w:rFonts w:eastAsia="標楷體" w:hint="eastAsia"/>
              </w:rPr>
              <w:t>應為</w:t>
            </w:r>
            <w:r w:rsidR="00551B35" w:rsidRPr="000C2072">
              <w:rPr>
                <w:rFonts w:eastAsia="標楷體" w:hint="eastAsia"/>
              </w:rPr>
              <w:t>受害人本人</w:t>
            </w:r>
            <w:r>
              <w:rPr>
                <w:rFonts w:eastAsia="標楷體" w:hint="eastAsia"/>
              </w:rPr>
              <w:t>之規定</w:t>
            </w:r>
            <w:r w:rsidR="00551B35">
              <w:rPr>
                <w:rFonts w:eastAsia="標楷體" w:hint="eastAsia"/>
              </w:rPr>
              <w:t>，</w:t>
            </w:r>
            <w:r w:rsidR="00185E6F">
              <w:rPr>
                <w:rFonts w:eastAsia="標楷體" w:hint="eastAsia"/>
              </w:rPr>
              <w:t>現行條文特別敘明</w:t>
            </w:r>
            <w:r w:rsidR="0012222F">
              <w:rPr>
                <w:rFonts w:eastAsia="標楷體" w:hint="eastAsia"/>
              </w:rPr>
              <w:t>「</w:t>
            </w:r>
            <w:r w:rsidR="00185E6F">
              <w:rPr>
                <w:rFonts w:eastAsia="標楷體" w:hint="eastAsia"/>
              </w:rPr>
              <w:t>或其法定代</w:t>
            </w:r>
            <w:r w:rsidR="0012222F">
              <w:rPr>
                <w:rFonts w:eastAsia="標楷體" w:hint="eastAsia"/>
              </w:rPr>
              <w:t>理人」，易遭誤解為法定代理人具有獨立請求權，而與民法規定不同，爰予刪除</w:t>
            </w:r>
            <w:r w:rsidR="00551B35" w:rsidRPr="000C2072">
              <w:rPr>
                <w:rFonts w:eastAsia="標楷體"/>
              </w:rPr>
              <w:t>。</w:t>
            </w:r>
          </w:p>
        </w:tc>
      </w:tr>
    </w:tbl>
    <w:p w:rsidR="00E07247" w:rsidRDefault="00E07247" w:rsidP="008A7710">
      <w:pPr>
        <w:pStyle w:val="a4"/>
        <w:jc w:val="center"/>
        <w:rPr>
          <w:rFonts w:eastAsia="標楷體"/>
          <w:sz w:val="40"/>
          <w:szCs w:val="40"/>
        </w:rPr>
      </w:pPr>
    </w:p>
    <w:p w:rsidR="00F5101E" w:rsidRDefault="00E07247" w:rsidP="008A7710">
      <w:pPr>
        <w:pStyle w:val="a4"/>
        <w:jc w:val="center"/>
        <w:rPr>
          <w:rFonts w:eastAsia="標楷體" w:hint="eastAsia"/>
          <w:sz w:val="40"/>
          <w:szCs w:val="40"/>
        </w:rPr>
      </w:pPr>
      <w:r>
        <w:rPr>
          <w:rFonts w:eastAsia="標楷體"/>
          <w:sz w:val="40"/>
          <w:szCs w:val="40"/>
        </w:rPr>
        <w:br w:type="page"/>
      </w:r>
      <w:r w:rsidR="00F5101E">
        <w:rPr>
          <w:noProof/>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2.65pt;margin-top:1.1pt;width:40.35pt;height:25.9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style="mso-next-textbox:#文字方塊 2;mso-fit-shape-to-text:t">
              <w:txbxContent>
                <w:p w:rsidR="00541DA1" w:rsidRPr="00F5101E" w:rsidRDefault="00541DA1">
                  <w:pPr>
                    <w:rPr>
                      <w:rFonts w:eastAsia="標楷體"/>
                    </w:rPr>
                  </w:pPr>
                  <w:r w:rsidRPr="00F5101E">
                    <w:rPr>
                      <w:rFonts w:eastAsia="標楷體"/>
                    </w:rPr>
                    <w:t>附表</w:t>
                  </w:r>
                </w:p>
              </w:txbxContent>
            </v:textbox>
          </v:shape>
        </w:pict>
      </w:r>
    </w:p>
    <w:p w:rsidR="002839EE" w:rsidRPr="00F443A3" w:rsidRDefault="008A7710" w:rsidP="008A7710">
      <w:pPr>
        <w:pStyle w:val="a4"/>
        <w:jc w:val="center"/>
        <w:rPr>
          <w:rFonts w:eastAsia="標楷體" w:hint="eastAsia"/>
          <w:sz w:val="40"/>
          <w:szCs w:val="40"/>
        </w:rPr>
      </w:pPr>
      <w:r w:rsidRPr="008A7710">
        <w:rPr>
          <w:rFonts w:eastAsia="標楷體" w:hint="eastAsia"/>
          <w:sz w:val="40"/>
          <w:szCs w:val="40"/>
        </w:rPr>
        <w:t>預防接種受害救濟給付金額範圍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701"/>
        <w:gridCol w:w="1275"/>
        <w:gridCol w:w="2410"/>
        <w:gridCol w:w="1789"/>
      </w:tblGrid>
      <w:tr w:rsidR="002C560D" w:rsidRPr="008B7EF7" w:rsidTr="00D9342B">
        <w:tc>
          <w:tcPr>
            <w:tcW w:w="1668" w:type="dxa"/>
            <w:vMerge w:val="restart"/>
            <w:shd w:val="clear" w:color="auto" w:fill="auto"/>
            <w:vAlign w:val="center"/>
          </w:tcPr>
          <w:p w:rsidR="002C560D" w:rsidRPr="008B7EF7" w:rsidRDefault="002C560D" w:rsidP="008A7710">
            <w:pPr>
              <w:jc w:val="center"/>
              <w:rPr>
                <w:rFonts w:eastAsia="標楷體"/>
              </w:rPr>
            </w:pPr>
            <w:r w:rsidRPr="008B7EF7">
              <w:rPr>
                <w:rFonts w:eastAsia="標楷體"/>
              </w:rPr>
              <w:t>救濟項目</w:t>
            </w:r>
          </w:p>
        </w:tc>
        <w:tc>
          <w:tcPr>
            <w:tcW w:w="5386" w:type="dxa"/>
            <w:gridSpan w:val="3"/>
            <w:shd w:val="clear" w:color="auto" w:fill="auto"/>
            <w:vAlign w:val="center"/>
          </w:tcPr>
          <w:p w:rsidR="002C560D" w:rsidRPr="008B7EF7" w:rsidRDefault="002C560D" w:rsidP="008A7710">
            <w:pPr>
              <w:jc w:val="center"/>
              <w:rPr>
                <w:rFonts w:eastAsia="標楷體"/>
              </w:rPr>
            </w:pPr>
            <w:r w:rsidRPr="008B7EF7">
              <w:rPr>
                <w:rFonts w:eastAsia="標楷體"/>
              </w:rPr>
              <w:t>認定基準</w:t>
            </w:r>
          </w:p>
        </w:tc>
        <w:tc>
          <w:tcPr>
            <w:tcW w:w="1789" w:type="dxa"/>
            <w:vMerge w:val="restart"/>
            <w:shd w:val="clear" w:color="auto" w:fill="auto"/>
            <w:vAlign w:val="center"/>
          </w:tcPr>
          <w:p w:rsidR="002C560D" w:rsidRPr="008B7EF7" w:rsidRDefault="002C560D" w:rsidP="008A7710">
            <w:pPr>
              <w:jc w:val="center"/>
              <w:rPr>
                <w:rFonts w:eastAsia="標楷體"/>
              </w:rPr>
            </w:pPr>
            <w:r w:rsidRPr="008B7EF7">
              <w:rPr>
                <w:rFonts w:eastAsia="標楷體"/>
              </w:rPr>
              <w:t>給付金額範圍</w:t>
            </w:r>
            <w:r w:rsidR="00802E26" w:rsidRPr="008B7EF7">
              <w:rPr>
                <w:rFonts w:eastAsia="標楷體" w:hint="eastAsia"/>
              </w:rPr>
              <w:t>（</w:t>
            </w:r>
            <w:r w:rsidR="00267FD7">
              <w:rPr>
                <w:rFonts w:eastAsia="標楷體" w:hint="eastAsia"/>
              </w:rPr>
              <w:t>新臺幣</w:t>
            </w:r>
            <w:r w:rsidR="002839EE" w:rsidRPr="008B7EF7">
              <w:rPr>
                <w:rFonts w:eastAsia="標楷體" w:hint="eastAsia"/>
              </w:rPr>
              <w:t>萬</w:t>
            </w:r>
            <w:r w:rsidR="00802E26" w:rsidRPr="008B7EF7">
              <w:rPr>
                <w:rFonts w:eastAsia="標楷體" w:hint="eastAsia"/>
              </w:rPr>
              <w:t>元）</w:t>
            </w:r>
          </w:p>
        </w:tc>
      </w:tr>
      <w:tr w:rsidR="002C560D" w:rsidRPr="008B7EF7" w:rsidTr="00D9342B">
        <w:tc>
          <w:tcPr>
            <w:tcW w:w="1668" w:type="dxa"/>
            <w:vMerge/>
            <w:shd w:val="clear" w:color="auto" w:fill="auto"/>
            <w:vAlign w:val="center"/>
          </w:tcPr>
          <w:p w:rsidR="002C560D" w:rsidRPr="008B7EF7" w:rsidRDefault="002C560D" w:rsidP="00066046">
            <w:pPr>
              <w:rPr>
                <w:rFonts w:eastAsia="標楷體"/>
              </w:rPr>
            </w:pPr>
          </w:p>
        </w:tc>
        <w:tc>
          <w:tcPr>
            <w:tcW w:w="2976" w:type="dxa"/>
            <w:gridSpan w:val="2"/>
            <w:shd w:val="clear" w:color="auto" w:fill="auto"/>
            <w:vAlign w:val="center"/>
          </w:tcPr>
          <w:p w:rsidR="002C560D" w:rsidRPr="008B7EF7" w:rsidRDefault="00F86C4A" w:rsidP="007552F3">
            <w:pPr>
              <w:jc w:val="center"/>
              <w:rPr>
                <w:rFonts w:eastAsia="標楷體"/>
              </w:rPr>
            </w:pPr>
            <w:r>
              <w:rPr>
                <w:rFonts w:eastAsia="標楷體" w:hint="eastAsia"/>
              </w:rPr>
              <w:t>定義</w:t>
            </w:r>
            <w:r>
              <w:rPr>
                <w:rFonts w:eastAsia="標楷體" w:hint="eastAsia"/>
              </w:rPr>
              <w:t>/</w:t>
            </w:r>
            <w:r w:rsidR="002C560D" w:rsidRPr="008B7EF7">
              <w:rPr>
                <w:rFonts w:eastAsia="標楷體"/>
              </w:rPr>
              <w:t>障礙程度</w:t>
            </w:r>
          </w:p>
        </w:tc>
        <w:tc>
          <w:tcPr>
            <w:tcW w:w="2410" w:type="dxa"/>
            <w:shd w:val="clear" w:color="auto" w:fill="auto"/>
            <w:vAlign w:val="center"/>
          </w:tcPr>
          <w:p w:rsidR="002C560D" w:rsidRPr="008B7EF7" w:rsidRDefault="005D4CAC" w:rsidP="00066046">
            <w:pPr>
              <w:rPr>
                <w:rFonts w:eastAsia="標楷體"/>
              </w:rPr>
            </w:pPr>
            <w:r w:rsidRPr="008B7EF7">
              <w:rPr>
                <w:rFonts w:eastAsia="標楷體"/>
              </w:rPr>
              <w:t>與</w:t>
            </w:r>
            <w:r w:rsidR="00D9342B">
              <w:rPr>
                <w:rFonts w:eastAsia="標楷體" w:hint="eastAsia"/>
              </w:rPr>
              <w:t>預防接種</w:t>
            </w:r>
            <w:r w:rsidRPr="008B7EF7">
              <w:rPr>
                <w:rFonts w:eastAsia="標楷體"/>
              </w:rPr>
              <w:t>之</w:t>
            </w:r>
            <w:r w:rsidR="002C560D" w:rsidRPr="008B7EF7">
              <w:rPr>
                <w:rFonts w:eastAsia="標楷體"/>
              </w:rPr>
              <w:t>關聯性</w:t>
            </w:r>
          </w:p>
        </w:tc>
        <w:tc>
          <w:tcPr>
            <w:tcW w:w="1789" w:type="dxa"/>
            <w:vMerge/>
            <w:shd w:val="clear" w:color="auto" w:fill="auto"/>
            <w:vAlign w:val="center"/>
          </w:tcPr>
          <w:p w:rsidR="002C560D" w:rsidRPr="008B7EF7" w:rsidRDefault="002C560D" w:rsidP="00066046">
            <w:pPr>
              <w:rPr>
                <w:rFonts w:eastAsia="標楷體"/>
              </w:rPr>
            </w:pPr>
          </w:p>
        </w:tc>
      </w:tr>
      <w:tr w:rsidR="005D4CAC" w:rsidRPr="008B7EF7" w:rsidTr="00D9342B">
        <w:tc>
          <w:tcPr>
            <w:tcW w:w="1668" w:type="dxa"/>
            <w:vMerge w:val="restart"/>
            <w:shd w:val="clear" w:color="auto" w:fill="auto"/>
            <w:vAlign w:val="center"/>
          </w:tcPr>
          <w:p w:rsidR="005D4CAC" w:rsidRPr="008B7EF7" w:rsidRDefault="005D4CAC" w:rsidP="00795BFA">
            <w:pPr>
              <w:jc w:val="center"/>
              <w:rPr>
                <w:rFonts w:eastAsia="標楷體"/>
              </w:rPr>
            </w:pPr>
            <w:r w:rsidRPr="008B7EF7">
              <w:rPr>
                <w:rFonts w:eastAsia="標楷體"/>
              </w:rPr>
              <w:t>死亡給付</w:t>
            </w:r>
          </w:p>
        </w:tc>
        <w:tc>
          <w:tcPr>
            <w:tcW w:w="2976" w:type="dxa"/>
            <w:gridSpan w:val="2"/>
            <w:vMerge w:val="restart"/>
            <w:shd w:val="clear" w:color="auto" w:fill="auto"/>
            <w:vAlign w:val="center"/>
          </w:tcPr>
          <w:p w:rsidR="005D4CAC" w:rsidRPr="008B7EF7" w:rsidRDefault="00703CD8" w:rsidP="00795BFA">
            <w:pPr>
              <w:jc w:val="center"/>
              <w:rPr>
                <w:rFonts w:eastAsia="標楷體"/>
              </w:rPr>
            </w:pPr>
            <w:r w:rsidRPr="008B7EF7">
              <w:rPr>
                <w:rFonts w:eastAsia="標楷體" w:hint="eastAsia"/>
              </w:rPr>
              <w:t>-</w:t>
            </w:r>
          </w:p>
        </w:tc>
        <w:tc>
          <w:tcPr>
            <w:tcW w:w="2410" w:type="dxa"/>
            <w:shd w:val="clear" w:color="auto" w:fill="auto"/>
            <w:vAlign w:val="center"/>
          </w:tcPr>
          <w:p w:rsidR="005D4CAC" w:rsidRPr="008B7EF7" w:rsidRDefault="005D4CAC" w:rsidP="00861EA8">
            <w:pPr>
              <w:jc w:val="center"/>
              <w:rPr>
                <w:rFonts w:eastAsia="標楷體"/>
              </w:rPr>
            </w:pPr>
            <w:r w:rsidRPr="008B7EF7">
              <w:rPr>
                <w:rFonts w:eastAsia="標楷體"/>
              </w:rPr>
              <w:t>相關</w:t>
            </w:r>
          </w:p>
        </w:tc>
        <w:tc>
          <w:tcPr>
            <w:tcW w:w="1789" w:type="dxa"/>
            <w:shd w:val="clear" w:color="auto" w:fill="auto"/>
            <w:vAlign w:val="center"/>
          </w:tcPr>
          <w:p w:rsidR="005D4CAC" w:rsidRPr="008B7EF7" w:rsidRDefault="009A4CC0" w:rsidP="00861EA8">
            <w:pPr>
              <w:jc w:val="center"/>
              <w:rPr>
                <w:rFonts w:eastAsia="標楷體"/>
              </w:rPr>
            </w:pPr>
            <w:r>
              <w:rPr>
                <w:rFonts w:eastAsia="標楷體" w:hint="eastAsia"/>
              </w:rPr>
              <w:t>5</w:t>
            </w:r>
            <w:r w:rsidR="008A7710">
              <w:rPr>
                <w:rFonts w:eastAsia="標楷體" w:hint="eastAsia"/>
              </w:rPr>
              <w:t>0</w:t>
            </w:r>
            <w:r w:rsidR="002839EE" w:rsidRPr="008B7EF7">
              <w:rPr>
                <w:rFonts w:eastAsia="標楷體" w:hint="eastAsia"/>
              </w:rPr>
              <w:t>~</w:t>
            </w:r>
            <w:r w:rsidR="001B2F79" w:rsidRPr="008B7EF7">
              <w:rPr>
                <w:rFonts w:eastAsia="標楷體"/>
              </w:rPr>
              <w:t>600</w:t>
            </w:r>
          </w:p>
        </w:tc>
      </w:tr>
      <w:tr w:rsidR="005D4CAC" w:rsidRPr="008B7EF7" w:rsidTr="00D9342B">
        <w:tc>
          <w:tcPr>
            <w:tcW w:w="1668" w:type="dxa"/>
            <w:vMerge/>
            <w:shd w:val="clear" w:color="auto" w:fill="auto"/>
            <w:vAlign w:val="center"/>
          </w:tcPr>
          <w:p w:rsidR="005D4CAC" w:rsidRPr="008B7EF7" w:rsidRDefault="005D4CAC" w:rsidP="00066046">
            <w:pPr>
              <w:rPr>
                <w:rFonts w:eastAsia="標楷體"/>
              </w:rPr>
            </w:pPr>
          </w:p>
        </w:tc>
        <w:tc>
          <w:tcPr>
            <w:tcW w:w="2976" w:type="dxa"/>
            <w:gridSpan w:val="2"/>
            <w:vMerge/>
            <w:shd w:val="clear" w:color="auto" w:fill="auto"/>
            <w:vAlign w:val="center"/>
          </w:tcPr>
          <w:p w:rsidR="005D4CAC" w:rsidRPr="008B7EF7" w:rsidRDefault="005D4CAC" w:rsidP="00066046">
            <w:pPr>
              <w:rPr>
                <w:rFonts w:eastAsia="標楷體"/>
              </w:rPr>
            </w:pPr>
          </w:p>
        </w:tc>
        <w:tc>
          <w:tcPr>
            <w:tcW w:w="2410" w:type="dxa"/>
            <w:shd w:val="clear" w:color="auto" w:fill="auto"/>
            <w:vAlign w:val="center"/>
          </w:tcPr>
          <w:p w:rsidR="005D4CAC" w:rsidRPr="008B7EF7" w:rsidRDefault="005D4CAC" w:rsidP="00861EA8">
            <w:pPr>
              <w:jc w:val="center"/>
              <w:rPr>
                <w:rFonts w:eastAsia="標楷體"/>
              </w:rPr>
            </w:pPr>
            <w:r w:rsidRPr="008B7EF7">
              <w:rPr>
                <w:rFonts w:eastAsia="標楷體"/>
              </w:rPr>
              <w:t>無法排除</w:t>
            </w:r>
          </w:p>
        </w:tc>
        <w:tc>
          <w:tcPr>
            <w:tcW w:w="1789" w:type="dxa"/>
            <w:shd w:val="clear" w:color="auto" w:fill="auto"/>
            <w:vAlign w:val="center"/>
          </w:tcPr>
          <w:p w:rsidR="005D4CAC" w:rsidRPr="008B7EF7" w:rsidRDefault="009A4CC0" w:rsidP="00861EA8">
            <w:pPr>
              <w:jc w:val="center"/>
              <w:rPr>
                <w:rFonts w:eastAsia="標楷體"/>
              </w:rPr>
            </w:pPr>
            <w:r>
              <w:rPr>
                <w:rFonts w:eastAsia="標楷體" w:hint="eastAsia"/>
              </w:rPr>
              <w:t>3</w:t>
            </w:r>
            <w:r w:rsidR="008A7710">
              <w:rPr>
                <w:rFonts w:eastAsia="標楷體" w:hint="eastAsia"/>
              </w:rPr>
              <w:t>0</w:t>
            </w:r>
            <w:r w:rsidR="002839EE" w:rsidRPr="008B7EF7">
              <w:rPr>
                <w:rFonts w:eastAsia="標楷體" w:hint="eastAsia"/>
              </w:rPr>
              <w:t>~</w:t>
            </w:r>
            <w:r w:rsidR="001B2F79" w:rsidRPr="008B7EF7">
              <w:rPr>
                <w:rFonts w:eastAsia="標楷體"/>
              </w:rPr>
              <w:t>350</w:t>
            </w:r>
          </w:p>
        </w:tc>
      </w:tr>
      <w:tr w:rsidR="002839EE" w:rsidRPr="008B7EF7" w:rsidTr="00D9342B">
        <w:tc>
          <w:tcPr>
            <w:tcW w:w="1668" w:type="dxa"/>
            <w:vMerge w:val="restart"/>
            <w:shd w:val="clear" w:color="auto" w:fill="auto"/>
            <w:vAlign w:val="center"/>
          </w:tcPr>
          <w:p w:rsidR="002839EE" w:rsidRPr="008B7EF7" w:rsidRDefault="002839EE" w:rsidP="00795BFA">
            <w:pPr>
              <w:jc w:val="center"/>
              <w:rPr>
                <w:rFonts w:eastAsia="標楷體"/>
              </w:rPr>
            </w:pPr>
            <w:r w:rsidRPr="008B7EF7">
              <w:rPr>
                <w:rFonts w:eastAsia="標楷體"/>
              </w:rPr>
              <w:t>障礙給付</w:t>
            </w:r>
          </w:p>
        </w:tc>
        <w:tc>
          <w:tcPr>
            <w:tcW w:w="1701" w:type="dxa"/>
            <w:vMerge w:val="restart"/>
            <w:shd w:val="clear" w:color="auto" w:fill="auto"/>
            <w:vAlign w:val="center"/>
          </w:tcPr>
          <w:p w:rsidR="002839EE" w:rsidRPr="008B7EF7" w:rsidRDefault="002839EE" w:rsidP="007552F3">
            <w:pPr>
              <w:jc w:val="both"/>
              <w:rPr>
                <w:rFonts w:eastAsia="標楷體"/>
              </w:rPr>
            </w:pPr>
            <w:r w:rsidRPr="008B7EF7">
              <w:rPr>
                <w:rFonts w:eastAsia="標楷體" w:hint="eastAsia"/>
              </w:rPr>
              <w:t>依身心障礙者權益保障法令所定障礙類別、等級</w:t>
            </w:r>
            <w:r w:rsidR="0096230A">
              <w:rPr>
                <w:rFonts w:eastAsia="標楷體" w:hint="eastAsia"/>
              </w:rPr>
              <w:t>，</w:t>
            </w:r>
            <w:r w:rsidR="00066046">
              <w:rPr>
                <w:rFonts w:eastAsia="標楷體" w:hint="eastAsia"/>
              </w:rPr>
              <w:t>但</w:t>
            </w:r>
            <w:r w:rsidR="0096230A" w:rsidRPr="0096230A">
              <w:rPr>
                <w:rFonts w:eastAsia="標楷體" w:hint="eastAsia"/>
              </w:rPr>
              <w:t>不包括</w:t>
            </w:r>
            <w:r w:rsidR="00B75210">
              <w:rPr>
                <w:rFonts w:eastAsia="標楷體" w:hint="eastAsia"/>
              </w:rPr>
              <w:t>轉化症等</w:t>
            </w:r>
            <w:r w:rsidR="0096230A" w:rsidRPr="0096230A">
              <w:rPr>
                <w:rFonts w:eastAsia="標楷體" w:hint="eastAsia"/>
              </w:rPr>
              <w:t>因心</w:t>
            </w:r>
            <w:r w:rsidR="00B75210">
              <w:rPr>
                <w:rFonts w:eastAsia="標楷體" w:hint="eastAsia"/>
              </w:rPr>
              <w:t>理</w:t>
            </w:r>
            <w:r w:rsidR="0096230A" w:rsidRPr="0096230A">
              <w:rPr>
                <w:rFonts w:eastAsia="標楷體" w:hint="eastAsia"/>
              </w:rPr>
              <w:t>因素所致之情形</w:t>
            </w:r>
          </w:p>
        </w:tc>
        <w:tc>
          <w:tcPr>
            <w:tcW w:w="1275" w:type="dxa"/>
            <w:vMerge w:val="restart"/>
            <w:shd w:val="clear" w:color="auto" w:fill="auto"/>
            <w:vAlign w:val="center"/>
          </w:tcPr>
          <w:p w:rsidR="002839EE" w:rsidRPr="008B7EF7" w:rsidRDefault="002839EE" w:rsidP="007552F3">
            <w:pPr>
              <w:jc w:val="both"/>
              <w:rPr>
                <w:rFonts w:eastAsia="標楷體"/>
              </w:rPr>
            </w:pPr>
            <w:r w:rsidRPr="008B7EF7">
              <w:rPr>
                <w:rFonts w:eastAsia="標楷體"/>
              </w:rPr>
              <w:t>4-</w:t>
            </w:r>
            <w:r w:rsidRPr="008B7EF7">
              <w:rPr>
                <w:rFonts w:eastAsia="標楷體"/>
              </w:rPr>
              <w:t>極重度</w:t>
            </w:r>
            <w:r w:rsidRPr="008B7EF7">
              <w:rPr>
                <w:rFonts w:eastAsia="標楷體"/>
              </w:rPr>
              <w:t xml:space="preserve"> </w:t>
            </w: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相關</w:t>
            </w:r>
          </w:p>
        </w:tc>
        <w:tc>
          <w:tcPr>
            <w:tcW w:w="1789" w:type="dxa"/>
            <w:shd w:val="clear" w:color="auto" w:fill="auto"/>
            <w:vAlign w:val="center"/>
          </w:tcPr>
          <w:p w:rsidR="002839EE" w:rsidRPr="008B7EF7" w:rsidRDefault="009A4CC0" w:rsidP="00861EA8">
            <w:pPr>
              <w:jc w:val="center"/>
              <w:rPr>
                <w:rFonts w:eastAsia="標楷體"/>
              </w:rPr>
            </w:pPr>
            <w:r>
              <w:rPr>
                <w:rFonts w:eastAsia="標楷體" w:hint="eastAsia"/>
              </w:rPr>
              <w:t>5</w:t>
            </w:r>
            <w:r w:rsidR="008A7710">
              <w:rPr>
                <w:rFonts w:eastAsia="標楷體" w:hint="eastAsia"/>
              </w:rPr>
              <w:t>0</w:t>
            </w:r>
            <w:r w:rsidR="002839EE" w:rsidRPr="008B7EF7">
              <w:rPr>
                <w:rFonts w:eastAsia="標楷體" w:hint="eastAsia"/>
              </w:rPr>
              <w:t>~</w:t>
            </w:r>
            <w:r w:rsidR="00F443A3">
              <w:rPr>
                <w:rFonts w:eastAsia="標楷體" w:hint="eastAsia"/>
              </w:rPr>
              <w:t>6</w:t>
            </w:r>
            <w:r w:rsidR="002839EE" w:rsidRPr="008B7EF7">
              <w:rPr>
                <w:rFonts w:eastAsia="標楷體"/>
              </w:rPr>
              <w:t>00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1701" w:type="dxa"/>
            <w:vMerge/>
            <w:shd w:val="clear" w:color="auto" w:fill="auto"/>
            <w:vAlign w:val="center"/>
          </w:tcPr>
          <w:p w:rsidR="002839EE" w:rsidRPr="008B7EF7" w:rsidRDefault="002839EE" w:rsidP="00066046">
            <w:pPr>
              <w:rPr>
                <w:rFonts w:eastAsia="標楷體"/>
              </w:rPr>
            </w:pPr>
          </w:p>
        </w:tc>
        <w:tc>
          <w:tcPr>
            <w:tcW w:w="1275" w:type="dxa"/>
            <w:vMerge/>
            <w:shd w:val="clear" w:color="auto" w:fill="auto"/>
            <w:vAlign w:val="center"/>
          </w:tcPr>
          <w:p w:rsidR="002839EE" w:rsidRPr="008B7EF7" w:rsidRDefault="002839EE" w:rsidP="007552F3">
            <w:pPr>
              <w:jc w:val="both"/>
              <w:rPr>
                <w:rFonts w:eastAsia="標楷體"/>
              </w:rPr>
            </w:pP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無法排除</w:t>
            </w:r>
          </w:p>
        </w:tc>
        <w:tc>
          <w:tcPr>
            <w:tcW w:w="1789" w:type="dxa"/>
            <w:shd w:val="clear" w:color="auto" w:fill="auto"/>
            <w:vAlign w:val="center"/>
          </w:tcPr>
          <w:p w:rsidR="002839EE" w:rsidRPr="008B7EF7" w:rsidRDefault="009A4CC0" w:rsidP="00861EA8">
            <w:pPr>
              <w:jc w:val="center"/>
              <w:rPr>
                <w:rFonts w:eastAsia="標楷體"/>
              </w:rPr>
            </w:pPr>
            <w:r>
              <w:rPr>
                <w:rFonts w:eastAsia="標楷體" w:hint="eastAsia"/>
              </w:rPr>
              <w:t>3</w:t>
            </w:r>
            <w:r w:rsidR="008A7710">
              <w:rPr>
                <w:rFonts w:eastAsia="標楷體" w:hint="eastAsia"/>
              </w:rPr>
              <w:t>0</w:t>
            </w:r>
            <w:r w:rsidR="002839EE" w:rsidRPr="008B7EF7">
              <w:rPr>
                <w:rFonts w:eastAsia="標楷體" w:hint="eastAsia"/>
              </w:rPr>
              <w:t>~</w:t>
            </w:r>
            <w:r w:rsidR="002839EE" w:rsidRPr="008B7EF7">
              <w:rPr>
                <w:rFonts w:eastAsia="標楷體"/>
              </w:rPr>
              <w:t>3</w:t>
            </w:r>
            <w:r w:rsidR="002839EE" w:rsidRPr="008B7EF7">
              <w:rPr>
                <w:rFonts w:eastAsia="標楷體" w:hint="eastAsia"/>
              </w:rPr>
              <w:t>5</w:t>
            </w:r>
            <w:r w:rsidR="002839EE" w:rsidRPr="008B7EF7">
              <w:rPr>
                <w:rFonts w:eastAsia="標楷體"/>
              </w:rPr>
              <w:t>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1701" w:type="dxa"/>
            <w:vMerge/>
            <w:shd w:val="clear" w:color="auto" w:fill="auto"/>
            <w:vAlign w:val="center"/>
          </w:tcPr>
          <w:p w:rsidR="002839EE" w:rsidRPr="008B7EF7" w:rsidRDefault="002839EE" w:rsidP="00066046">
            <w:pPr>
              <w:rPr>
                <w:rFonts w:eastAsia="標楷體"/>
              </w:rPr>
            </w:pPr>
          </w:p>
        </w:tc>
        <w:tc>
          <w:tcPr>
            <w:tcW w:w="1275" w:type="dxa"/>
            <w:vMerge w:val="restart"/>
            <w:shd w:val="clear" w:color="auto" w:fill="auto"/>
            <w:vAlign w:val="center"/>
          </w:tcPr>
          <w:p w:rsidR="002839EE" w:rsidRPr="008B7EF7" w:rsidRDefault="002839EE" w:rsidP="007552F3">
            <w:pPr>
              <w:jc w:val="both"/>
              <w:rPr>
                <w:rFonts w:eastAsia="標楷體"/>
              </w:rPr>
            </w:pPr>
            <w:r w:rsidRPr="008B7EF7">
              <w:rPr>
                <w:rFonts w:eastAsia="標楷體"/>
              </w:rPr>
              <w:t>3-</w:t>
            </w:r>
            <w:r w:rsidRPr="008B7EF7">
              <w:rPr>
                <w:rFonts w:eastAsia="標楷體"/>
              </w:rPr>
              <w:t>重度</w:t>
            </w:r>
            <w:r w:rsidRPr="008B7EF7">
              <w:rPr>
                <w:rFonts w:eastAsia="標楷體"/>
              </w:rPr>
              <w:t xml:space="preserve"> </w:t>
            </w: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相關</w:t>
            </w:r>
          </w:p>
        </w:tc>
        <w:tc>
          <w:tcPr>
            <w:tcW w:w="1789" w:type="dxa"/>
            <w:shd w:val="clear" w:color="auto" w:fill="auto"/>
            <w:vAlign w:val="center"/>
          </w:tcPr>
          <w:p w:rsidR="002839EE" w:rsidRPr="008B7EF7" w:rsidRDefault="009A4CC0" w:rsidP="00861EA8">
            <w:pPr>
              <w:jc w:val="center"/>
              <w:rPr>
                <w:rFonts w:eastAsia="標楷體"/>
              </w:rPr>
            </w:pPr>
            <w:r>
              <w:rPr>
                <w:rFonts w:eastAsia="標楷體" w:hint="eastAsia"/>
              </w:rPr>
              <w:t>3</w:t>
            </w:r>
            <w:r w:rsidR="008A7710">
              <w:rPr>
                <w:rFonts w:eastAsia="標楷體" w:hint="eastAsia"/>
              </w:rPr>
              <w:t>0</w:t>
            </w:r>
            <w:r w:rsidR="002839EE" w:rsidRPr="008B7EF7">
              <w:rPr>
                <w:rFonts w:eastAsia="標楷體" w:hint="eastAsia"/>
              </w:rPr>
              <w:t>~5</w:t>
            </w:r>
            <w:r w:rsidR="00F443A3">
              <w:rPr>
                <w:rFonts w:eastAsia="標楷體" w:hint="eastAsia"/>
              </w:rPr>
              <w:t>0</w:t>
            </w:r>
            <w:r w:rsidR="002839EE" w:rsidRPr="008B7EF7">
              <w:rPr>
                <w:rFonts w:eastAsia="標楷體" w:hint="eastAsia"/>
              </w:rPr>
              <w:t>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1701" w:type="dxa"/>
            <w:vMerge/>
            <w:shd w:val="clear" w:color="auto" w:fill="auto"/>
            <w:vAlign w:val="center"/>
          </w:tcPr>
          <w:p w:rsidR="002839EE" w:rsidRPr="008B7EF7" w:rsidRDefault="002839EE" w:rsidP="00066046">
            <w:pPr>
              <w:rPr>
                <w:rFonts w:eastAsia="標楷體"/>
              </w:rPr>
            </w:pPr>
          </w:p>
        </w:tc>
        <w:tc>
          <w:tcPr>
            <w:tcW w:w="1275" w:type="dxa"/>
            <w:vMerge/>
            <w:shd w:val="clear" w:color="auto" w:fill="auto"/>
            <w:vAlign w:val="center"/>
          </w:tcPr>
          <w:p w:rsidR="002839EE" w:rsidRPr="008B7EF7" w:rsidRDefault="002839EE" w:rsidP="007552F3">
            <w:pPr>
              <w:jc w:val="both"/>
              <w:rPr>
                <w:rFonts w:eastAsia="標楷體"/>
              </w:rPr>
            </w:pP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無法排除</w:t>
            </w:r>
          </w:p>
        </w:tc>
        <w:tc>
          <w:tcPr>
            <w:tcW w:w="1789" w:type="dxa"/>
            <w:shd w:val="clear" w:color="auto" w:fill="auto"/>
            <w:vAlign w:val="center"/>
          </w:tcPr>
          <w:p w:rsidR="002839EE" w:rsidRPr="008B7EF7" w:rsidRDefault="009A4CC0" w:rsidP="00861EA8">
            <w:pPr>
              <w:jc w:val="center"/>
              <w:rPr>
                <w:rFonts w:eastAsia="標楷體"/>
              </w:rPr>
            </w:pPr>
            <w:r>
              <w:rPr>
                <w:rFonts w:eastAsia="標楷體" w:hint="eastAsia"/>
              </w:rPr>
              <w:t>2</w:t>
            </w:r>
            <w:r w:rsidR="008A7710">
              <w:rPr>
                <w:rFonts w:eastAsia="標楷體" w:hint="eastAsia"/>
              </w:rPr>
              <w:t>0</w:t>
            </w:r>
            <w:r w:rsidR="002839EE" w:rsidRPr="008B7EF7">
              <w:rPr>
                <w:rFonts w:eastAsia="標楷體" w:hint="eastAsia"/>
              </w:rPr>
              <w:t>~300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1701" w:type="dxa"/>
            <w:vMerge/>
            <w:shd w:val="clear" w:color="auto" w:fill="auto"/>
            <w:vAlign w:val="center"/>
          </w:tcPr>
          <w:p w:rsidR="002839EE" w:rsidRPr="008B7EF7" w:rsidRDefault="002839EE" w:rsidP="00066046">
            <w:pPr>
              <w:rPr>
                <w:rFonts w:eastAsia="標楷體"/>
              </w:rPr>
            </w:pPr>
          </w:p>
        </w:tc>
        <w:tc>
          <w:tcPr>
            <w:tcW w:w="1275" w:type="dxa"/>
            <w:vMerge w:val="restart"/>
            <w:shd w:val="clear" w:color="auto" w:fill="auto"/>
            <w:vAlign w:val="center"/>
          </w:tcPr>
          <w:p w:rsidR="002839EE" w:rsidRPr="008B7EF7" w:rsidRDefault="002839EE" w:rsidP="007552F3">
            <w:pPr>
              <w:jc w:val="both"/>
              <w:rPr>
                <w:rFonts w:eastAsia="標楷體"/>
              </w:rPr>
            </w:pPr>
            <w:r w:rsidRPr="008B7EF7">
              <w:rPr>
                <w:rFonts w:eastAsia="標楷體"/>
              </w:rPr>
              <w:t>2-</w:t>
            </w:r>
            <w:r w:rsidRPr="008B7EF7">
              <w:rPr>
                <w:rFonts w:eastAsia="標楷體"/>
              </w:rPr>
              <w:t>中度</w:t>
            </w: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相關</w:t>
            </w:r>
          </w:p>
        </w:tc>
        <w:tc>
          <w:tcPr>
            <w:tcW w:w="1789" w:type="dxa"/>
            <w:shd w:val="clear" w:color="auto" w:fill="auto"/>
            <w:vAlign w:val="center"/>
          </w:tcPr>
          <w:p w:rsidR="002839EE" w:rsidRPr="008B7EF7" w:rsidRDefault="009A4CC0" w:rsidP="00861EA8">
            <w:pPr>
              <w:jc w:val="center"/>
              <w:rPr>
                <w:rFonts w:eastAsia="標楷體"/>
              </w:rPr>
            </w:pPr>
            <w:r>
              <w:rPr>
                <w:rFonts w:eastAsia="標楷體" w:hint="eastAsia"/>
              </w:rPr>
              <w:t>20</w:t>
            </w:r>
            <w:r w:rsidR="002839EE" w:rsidRPr="008B7EF7">
              <w:rPr>
                <w:rFonts w:eastAsia="標楷體" w:hint="eastAsia"/>
              </w:rPr>
              <w:t>~400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1701" w:type="dxa"/>
            <w:vMerge/>
            <w:shd w:val="clear" w:color="auto" w:fill="auto"/>
            <w:vAlign w:val="center"/>
          </w:tcPr>
          <w:p w:rsidR="002839EE" w:rsidRPr="008B7EF7" w:rsidRDefault="002839EE" w:rsidP="00066046">
            <w:pPr>
              <w:rPr>
                <w:rFonts w:eastAsia="標楷體"/>
              </w:rPr>
            </w:pPr>
          </w:p>
        </w:tc>
        <w:tc>
          <w:tcPr>
            <w:tcW w:w="1275" w:type="dxa"/>
            <w:vMerge/>
            <w:shd w:val="clear" w:color="auto" w:fill="auto"/>
            <w:vAlign w:val="center"/>
          </w:tcPr>
          <w:p w:rsidR="002839EE" w:rsidRPr="008B7EF7" w:rsidRDefault="002839EE" w:rsidP="007552F3">
            <w:pPr>
              <w:jc w:val="both"/>
              <w:rPr>
                <w:rFonts w:eastAsia="標楷體"/>
              </w:rPr>
            </w:pP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無法排除</w:t>
            </w:r>
          </w:p>
        </w:tc>
        <w:tc>
          <w:tcPr>
            <w:tcW w:w="1789" w:type="dxa"/>
            <w:shd w:val="clear" w:color="auto" w:fill="auto"/>
            <w:vAlign w:val="center"/>
          </w:tcPr>
          <w:p w:rsidR="002839EE" w:rsidRPr="008B7EF7" w:rsidRDefault="009A4CC0" w:rsidP="00861EA8">
            <w:pPr>
              <w:jc w:val="center"/>
              <w:rPr>
                <w:rFonts w:eastAsia="標楷體"/>
              </w:rPr>
            </w:pPr>
            <w:r>
              <w:rPr>
                <w:rFonts w:eastAsia="標楷體" w:hint="eastAsia"/>
              </w:rPr>
              <w:t>10</w:t>
            </w:r>
            <w:r w:rsidR="002839EE" w:rsidRPr="008B7EF7">
              <w:rPr>
                <w:rFonts w:eastAsia="標楷體" w:hint="eastAsia"/>
              </w:rPr>
              <w:t>~250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1701" w:type="dxa"/>
            <w:vMerge/>
            <w:shd w:val="clear" w:color="auto" w:fill="auto"/>
            <w:vAlign w:val="center"/>
          </w:tcPr>
          <w:p w:rsidR="002839EE" w:rsidRPr="008B7EF7" w:rsidRDefault="002839EE" w:rsidP="00066046">
            <w:pPr>
              <w:rPr>
                <w:rFonts w:eastAsia="標楷體"/>
              </w:rPr>
            </w:pPr>
          </w:p>
        </w:tc>
        <w:tc>
          <w:tcPr>
            <w:tcW w:w="1275" w:type="dxa"/>
            <w:vMerge w:val="restart"/>
            <w:shd w:val="clear" w:color="auto" w:fill="auto"/>
            <w:vAlign w:val="center"/>
          </w:tcPr>
          <w:p w:rsidR="002839EE" w:rsidRPr="008B7EF7" w:rsidRDefault="002839EE" w:rsidP="007552F3">
            <w:pPr>
              <w:jc w:val="both"/>
              <w:rPr>
                <w:rFonts w:eastAsia="標楷體"/>
              </w:rPr>
            </w:pPr>
            <w:r w:rsidRPr="008B7EF7">
              <w:rPr>
                <w:rFonts w:eastAsia="標楷體"/>
              </w:rPr>
              <w:t>1-</w:t>
            </w:r>
            <w:r w:rsidRPr="008B7EF7">
              <w:rPr>
                <w:rFonts w:eastAsia="標楷體"/>
              </w:rPr>
              <w:t>輕度</w:t>
            </w: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相關</w:t>
            </w:r>
          </w:p>
        </w:tc>
        <w:tc>
          <w:tcPr>
            <w:tcW w:w="1789" w:type="dxa"/>
            <w:shd w:val="clear" w:color="auto" w:fill="auto"/>
            <w:vAlign w:val="center"/>
          </w:tcPr>
          <w:p w:rsidR="002839EE" w:rsidRPr="008B7EF7" w:rsidRDefault="009A4CC0" w:rsidP="00861EA8">
            <w:pPr>
              <w:jc w:val="center"/>
              <w:rPr>
                <w:rFonts w:eastAsia="標楷體"/>
              </w:rPr>
            </w:pPr>
            <w:r>
              <w:rPr>
                <w:rFonts w:eastAsia="標楷體" w:hint="eastAsia"/>
              </w:rPr>
              <w:t>10</w:t>
            </w:r>
            <w:r w:rsidR="002839EE" w:rsidRPr="008B7EF7">
              <w:rPr>
                <w:rFonts w:eastAsia="標楷體" w:hint="eastAsia"/>
              </w:rPr>
              <w:t>~</w:t>
            </w:r>
            <w:r>
              <w:rPr>
                <w:rFonts w:eastAsia="標楷體" w:hint="eastAsia"/>
              </w:rPr>
              <w:t>25</w:t>
            </w:r>
            <w:r w:rsidR="002839EE" w:rsidRPr="008B7EF7">
              <w:rPr>
                <w:rFonts w:eastAsia="標楷體" w:hint="eastAsia"/>
              </w:rPr>
              <w:t>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1701" w:type="dxa"/>
            <w:vMerge/>
            <w:shd w:val="clear" w:color="auto" w:fill="auto"/>
            <w:vAlign w:val="center"/>
          </w:tcPr>
          <w:p w:rsidR="002839EE" w:rsidRPr="008B7EF7" w:rsidRDefault="002839EE" w:rsidP="00066046">
            <w:pPr>
              <w:rPr>
                <w:rFonts w:eastAsia="標楷體"/>
              </w:rPr>
            </w:pPr>
          </w:p>
        </w:tc>
        <w:tc>
          <w:tcPr>
            <w:tcW w:w="1275" w:type="dxa"/>
            <w:vMerge/>
            <w:shd w:val="clear" w:color="auto" w:fill="auto"/>
            <w:vAlign w:val="center"/>
          </w:tcPr>
          <w:p w:rsidR="002839EE" w:rsidRPr="008B7EF7" w:rsidRDefault="002839EE" w:rsidP="00066046">
            <w:pPr>
              <w:rPr>
                <w:rFonts w:eastAsia="標楷體"/>
              </w:rPr>
            </w:pP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無法排除</w:t>
            </w:r>
          </w:p>
        </w:tc>
        <w:tc>
          <w:tcPr>
            <w:tcW w:w="1789" w:type="dxa"/>
            <w:shd w:val="clear" w:color="auto" w:fill="auto"/>
            <w:vAlign w:val="center"/>
          </w:tcPr>
          <w:p w:rsidR="002839EE" w:rsidRPr="008B7EF7" w:rsidRDefault="00424D2C" w:rsidP="00861EA8">
            <w:pPr>
              <w:jc w:val="center"/>
              <w:rPr>
                <w:rFonts w:eastAsia="標楷體"/>
              </w:rPr>
            </w:pPr>
            <w:r>
              <w:rPr>
                <w:rFonts w:eastAsia="標楷體" w:hint="eastAsia"/>
              </w:rPr>
              <w:t>5</w:t>
            </w:r>
            <w:r w:rsidR="002839EE" w:rsidRPr="008B7EF7">
              <w:rPr>
                <w:rFonts w:eastAsia="標楷體" w:hint="eastAsia"/>
              </w:rPr>
              <w:t>~200</w:t>
            </w:r>
          </w:p>
        </w:tc>
      </w:tr>
      <w:tr w:rsidR="002839EE" w:rsidRPr="008B7EF7" w:rsidTr="00D9342B">
        <w:tc>
          <w:tcPr>
            <w:tcW w:w="1668" w:type="dxa"/>
            <w:vMerge w:val="restart"/>
            <w:shd w:val="clear" w:color="auto" w:fill="auto"/>
            <w:vAlign w:val="center"/>
          </w:tcPr>
          <w:p w:rsidR="008533FA" w:rsidRDefault="002839EE" w:rsidP="00795BFA">
            <w:pPr>
              <w:jc w:val="center"/>
              <w:rPr>
                <w:rFonts w:eastAsia="標楷體" w:hint="eastAsia"/>
              </w:rPr>
            </w:pPr>
            <w:r w:rsidRPr="008B7EF7">
              <w:rPr>
                <w:rFonts w:eastAsia="標楷體"/>
              </w:rPr>
              <w:t>嚴重疾病</w:t>
            </w:r>
          </w:p>
          <w:p w:rsidR="002839EE" w:rsidRPr="008B7EF7" w:rsidRDefault="002839EE" w:rsidP="00795BFA">
            <w:pPr>
              <w:jc w:val="center"/>
              <w:rPr>
                <w:rFonts w:eastAsia="標楷體"/>
              </w:rPr>
            </w:pPr>
            <w:r w:rsidRPr="008B7EF7">
              <w:rPr>
                <w:rFonts w:eastAsia="標楷體"/>
              </w:rPr>
              <w:t>給付</w:t>
            </w:r>
          </w:p>
        </w:tc>
        <w:tc>
          <w:tcPr>
            <w:tcW w:w="2976" w:type="dxa"/>
            <w:gridSpan w:val="2"/>
            <w:vMerge w:val="restart"/>
            <w:shd w:val="clear" w:color="auto" w:fill="auto"/>
            <w:vAlign w:val="center"/>
          </w:tcPr>
          <w:p w:rsidR="002839EE" w:rsidRPr="008B7EF7" w:rsidRDefault="002839EE" w:rsidP="007552F3">
            <w:pPr>
              <w:jc w:val="both"/>
              <w:rPr>
                <w:rFonts w:eastAsia="標楷體"/>
              </w:rPr>
            </w:pPr>
            <w:r w:rsidRPr="008B7EF7">
              <w:rPr>
                <w:rFonts w:eastAsia="標楷體" w:hint="eastAsia"/>
              </w:rPr>
              <w:t>依全民健康保險重大傷病範圍及嚴重藥物不良反應通報辦法認定</w:t>
            </w:r>
            <w:r w:rsidR="00C10307">
              <w:rPr>
                <w:rFonts w:eastAsia="標楷體" w:hint="eastAsia"/>
              </w:rPr>
              <w:t>，</w:t>
            </w:r>
            <w:r w:rsidR="00424D2C">
              <w:rPr>
                <w:rFonts w:eastAsia="標楷體" w:hint="eastAsia"/>
              </w:rPr>
              <w:t>但未達</w:t>
            </w:r>
            <w:r w:rsidRPr="008B7EF7">
              <w:rPr>
                <w:rFonts w:eastAsia="標楷體" w:hint="eastAsia"/>
              </w:rPr>
              <w:t>障礙程度</w:t>
            </w:r>
            <w:r w:rsidR="00C10307">
              <w:rPr>
                <w:rFonts w:eastAsia="標楷體" w:hint="eastAsia"/>
              </w:rPr>
              <w:t>者</w:t>
            </w: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相關</w:t>
            </w:r>
          </w:p>
        </w:tc>
        <w:tc>
          <w:tcPr>
            <w:tcW w:w="1789" w:type="dxa"/>
            <w:shd w:val="clear" w:color="auto" w:fill="auto"/>
            <w:vAlign w:val="center"/>
          </w:tcPr>
          <w:p w:rsidR="002839EE" w:rsidRPr="008B7EF7" w:rsidRDefault="002839EE" w:rsidP="00861EA8">
            <w:pPr>
              <w:jc w:val="center"/>
              <w:rPr>
                <w:rFonts w:eastAsia="標楷體"/>
              </w:rPr>
            </w:pPr>
            <w:r w:rsidRPr="007673FC">
              <w:rPr>
                <w:rFonts w:eastAsia="標楷體" w:hint="eastAsia"/>
              </w:rPr>
              <w:t>2</w:t>
            </w:r>
            <w:r w:rsidRPr="008B7EF7">
              <w:rPr>
                <w:rFonts w:eastAsia="標楷體" w:hint="eastAsia"/>
              </w:rPr>
              <w:t>~</w:t>
            </w:r>
            <w:r w:rsidR="00E170FC" w:rsidRPr="00066046">
              <w:rPr>
                <w:rFonts w:eastAsia="標楷體" w:hint="eastAsia"/>
              </w:rPr>
              <w:t>3</w:t>
            </w:r>
            <w:r w:rsidRPr="00066046">
              <w:rPr>
                <w:rFonts w:eastAsia="標楷體"/>
              </w:rPr>
              <w:t>00</w:t>
            </w:r>
          </w:p>
        </w:tc>
      </w:tr>
      <w:tr w:rsidR="002839EE" w:rsidRPr="008B7EF7" w:rsidTr="00D9342B">
        <w:tc>
          <w:tcPr>
            <w:tcW w:w="1668" w:type="dxa"/>
            <w:vMerge/>
            <w:shd w:val="clear" w:color="auto" w:fill="auto"/>
            <w:vAlign w:val="center"/>
          </w:tcPr>
          <w:p w:rsidR="002839EE" w:rsidRPr="008B7EF7" w:rsidRDefault="002839EE" w:rsidP="00066046">
            <w:pPr>
              <w:rPr>
                <w:rFonts w:eastAsia="標楷體"/>
              </w:rPr>
            </w:pPr>
          </w:p>
        </w:tc>
        <w:tc>
          <w:tcPr>
            <w:tcW w:w="2976" w:type="dxa"/>
            <w:gridSpan w:val="2"/>
            <w:vMerge/>
            <w:shd w:val="clear" w:color="auto" w:fill="auto"/>
            <w:vAlign w:val="center"/>
          </w:tcPr>
          <w:p w:rsidR="002839EE" w:rsidRPr="008B7EF7" w:rsidRDefault="002839EE" w:rsidP="007552F3">
            <w:pPr>
              <w:jc w:val="both"/>
              <w:rPr>
                <w:rFonts w:eastAsia="標楷體"/>
              </w:rPr>
            </w:pPr>
          </w:p>
        </w:tc>
        <w:tc>
          <w:tcPr>
            <w:tcW w:w="2410" w:type="dxa"/>
            <w:shd w:val="clear" w:color="auto" w:fill="auto"/>
            <w:vAlign w:val="center"/>
          </w:tcPr>
          <w:p w:rsidR="002839EE" w:rsidRPr="008B7EF7" w:rsidRDefault="002839EE" w:rsidP="00861EA8">
            <w:pPr>
              <w:jc w:val="center"/>
              <w:rPr>
                <w:rFonts w:eastAsia="標楷體"/>
              </w:rPr>
            </w:pPr>
            <w:r w:rsidRPr="008B7EF7">
              <w:rPr>
                <w:rFonts w:eastAsia="標楷體"/>
              </w:rPr>
              <w:t>無法排除</w:t>
            </w:r>
          </w:p>
        </w:tc>
        <w:tc>
          <w:tcPr>
            <w:tcW w:w="1789" w:type="dxa"/>
            <w:shd w:val="clear" w:color="auto" w:fill="auto"/>
            <w:vAlign w:val="center"/>
          </w:tcPr>
          <w:p w:rsidR="002839EE" w:rsidRPr="008B7EF7" w:rsidRDefault="002839EE" w:rsidP="00861EA8">
            <w:pPr>
              <w:jc w:val="center"/>
              <w:rPr>
                <w:rFonts w:eastAsia="標楷體"/>
              </w:rPr>
            </w:pPr>
            <w:r w:rsidRPr="008B7EF7">
              <w:rPr>
                <w:rFonts w:eastAsia="標楷體" w:hint="eastAsia"/>
              </w:rPr>
              <w:t>2~</w:t>
            </w:r>
            <w:r w:rsidRPr="008B7EF7">
              <w:rPr>
                <w:rFonts w:eastAsia="標楷體"/>
              </w:rPr>
              <w:t>120</w:t>
            </w:r>
          </w:p>
        </w:tc>
      </w:tr>
      <w:tr w:rsidR="00424D2C" w:rsidRPr="008B7EF7" w:rsidTr="00B87EF9">
        <w:trPr>
          <w:trHeight w:val="1440"/>
        </w:trPr>
        <w:tc>
          <w:tcPr>
            <w:tcW w:w="1668" w:type="dxa"/>
            <w:shd w:val="clear" w:color="auto" w:fill="auto"/>
            <w:vAlign w:val="center"/>
          </w:tcPr>
          <w:p w:rsidR="008533FA" w:rsidRDefault="00424D2C" w:rsidP="00795BFA">
            <w:pPr>
              <w:jc w:val="center"/>
              <w:rPr>
                <w:rFonts w:eastAsia="標楷體" w:hint="eastAsia"/>
              </w:rPr>
            </w:pPr>
            <w:r>
              <w:rPr>
                <w:rFonts w:eastAsia="標楷體" w:hint="eastAsia"/>
              </w:rPr>
              <w:t>其他</w:t>
            </w:r>
            <w:r w:rsidRPr="008B7EF7">
              <w:rPr>
                <w:rFonts w:eastAsia="標楷體"/>
              </w:rPr>
              <w:t>不良</w:t>
            </w:r>
          </w:p>
          <w:p w:rsidR="00424D2C" w:rsidRPr="008B7EF7" w:rsidRDefault="00424D2C" w:rsidP="00795BFA">
            <w:pPr>
              <w:jc w:val="center"/>
              <w:rPr>
                <w:rFonts w:eastAsia="標楷體"/>
              </w:rPr>
            </w:pPr>
            <w:r w:rsidRPr="008B7EF7">
              <w:rPr>
                <w:rFonts w:eastAsia="標楷體"/>
              </w:rPr>
              <w:t>反應給付</w:t>
            </w:r>
          </w:p>
        </w:tc>
        <w:tc>
          <w:tcPr>
            <w:tcW w:w="2976" w:type="dxa"/>
            <w:gridSpan w:val="2"/>
            <w:shd w:val="clear" w:color="auto" w:fill="auto"/>
            <w:vAlign w:val="center"/>
          </w:tcPr>
          <w:p w:rsidR="00424D2C" w:rsidRPr="008B7EF7" w:rsidRDefault="00424D2C" w:rsidP="007552F3">
            <w:pPr>
              <w:jc w:val="both"/>
              <w:rPr>
                <w:rFonts w:eastAsia="標楷體"/>
              </w:rPr>
            </w:pPr>
            <w:r w:rsidRPr="008B7EF7">
              <w:rPr>
                <w:rFonts w:eastAsia="標楷體"/>
              </w:rPr>
              <w:t>其他</w:t>
            </w:r>
            <w:r w:rsidRPr="008B7EF7">
              <w:rPr>
                <w:rFonts w:eastAsia="標楷體" w:hint="eastAsia"/>
              </w:rPr>
              <w:t>未達嚴重疾病程度之不良反應情形</w:t>
            </w:r>
            <w:r w:rsidR="008C732E">
              <w:rPr>
                <w:rFonts w:eastAsia="標楷體" w:hint="eastAsia"/>
              </w:rPr>
              <w:t>，</w:t>
            </w:r>
            <w:r>
              <w:rPr>
                <w:rFonts w:eastAsia="標楷體" w:hint="eastAsia"/>
              </w:rPr>
              <w:t>但輕微、常見或可預期之接種後不良反應不予救濟</w:t>
            </w:r>
          </w:p>
        </w:tc>
        <w:tc>
          <w:tcPr>
            <w:tcW w:w="2410" w:type="dxa"/>
            <w:shd w:val="clear" w:color="auto" w:fill="auto"/>
            <w:vAlign w:val="center"/>
          </w:tcPr>
          <w:p w:rsidR="00424D2C" w:rsidRPr="008B7EF7" w:rsidRDefault="00424D2C" w:rsidP="00861EA8">
            <w:pPr>
              <w:jc w:val="center"/>
              <w:rPr>
                <w:rFonts w:eastAsia="標楷體"/>
              </w:rPr>
            </w:pPr>
            <w:r w:rsidRPr="008B7EF7">
              <w:rPr>
                <w:rFonts w:eastAsia="標楷體"/>
              </w:rPr>
              <w:t>相關</w:t>
            </w:r>
            <w:r w:rsidRPr="008B7EF7">
              <w:rPr>
                <w:rFonts w:eastAsia="標楷體" w:hint="eastAsia"/>
              </w:rPr>
              <w:t>/</w:t>
            </w:r>
            <w:r w:rsidRPr="008B7EF7">
              <w:rPr>
                <w:rFonts w:eastAsia="標楷體"/>
              </w:rPr>
              <w:t>無法排除</w:t>
            </w:r>
          </w:p>
        </w:tc>
        <w:tc>
          <w:tcPr>
            <w:tcW w:w="1789" w:type="dxa"/>
            <w:shd w:val="clear" w:color="auto" w:fill="auto"/>
            <w:vAlign w:val="center"/>
          </w:tcPr>
          <w:p w:rsidR="00424D2C" w:rsidRPr="008B7EF7" w:rsidRDefault="00424D2C" w:rsidP="00795BFA">
            <w:pPr>
              <w:jc w:val="center"/>
              <w:rPr>
                <w:rFonts w:eastAsia="標楷體"/>
              </w:rPr>
            </w:pPr>
            <w:r>
              <w:rPr>
                <w:rFonts w:eastAsia="標楷體" w:hint="eastAsia"/>
              </w:rPr>
              <w:t>0</w:t>
            </w:r>
            <w:r w:rsidRPr="008B7EF7">
              <w:rPr>
                <w:rFonts w:eastAsia="標楷體" w:hint="eastAsia"/>
              </w:rPr>
              <w:t>~</w:t>
            </w:r>
            <w:r w:rsidRPr="008B7EF7">
              <w:rPr>
                <w:rFonts w:eastAsia="標楷體"/>
              </w:rPr>
              <w:t>20</w:t>
            </w:r>
          </w:p>
        </w:tc>
      </w:tr>
    </w:tbl>
    <w:p w:rsidR="002C560D" w:rsidRPr="00C10307" w:rsidRDefault="002C560D" w:rsidP="000C2072">
      <w:pPr>
        <w:rPr>
          <w:rFonts w:hint="eastAsia"/>
        </w:rPr>
      </w:pPr>
    </w:p>
    <w:sectPr w:rsidR="002C560D" w:rsidRPr="00C10307" w:rsidSect="00BD43B9">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659" w:rsidRDefault="00C37659">
      <w:r>
        <w:separator/>
      </w:r>
    </w:p>
  </w:endnote>
  <w:endnote w:type="continuationSeparator" w:id="1">
    <w:p w:rsidR="00C37659" w:rsidRDefault="00C37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7E" w:rsidRDefault="004C1A7E" w:rsidP="00AC77D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C1A7E" w:rsidRDefault="004C1A7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7E" w:rsidRDefault="004C1A7E" w:rsidP="00AC77D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B057B">
      <w:rPr>
        <w:rStyle w:val="ae"/>
        <w:noProof/>
      </w:rPr>
      <w:t>1</w:t>
    </w:r>
    <w:r>
      <w:rPr>
        <w:rStyle w:val="ae"/>
      </w:rPr>
      <w:fldChar w:fldCharType="end"/>
    </w:r>
  </w:p>
  <w:p w:rsidR="00541DA1" w:rsidRDefault="00541DA1">
    <w:pPr>
      <w:pStyle w:val="a8"/>
    </w:pPr>
    <w:r>
      <w:rPr>
        <w:kern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659" w:rsidRDefault="00C37659">
      <w:r>
        <w:separator/>
      </w:r>
    </w:p>
  </w:footnote>
  <w:footnote w:type="continuationSeparator" w:id="1">
    <w:p w:rsidR="00C37659" w:rsidRDefault="00C37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AE8"/>
    <w:multiLevelType w:val="hybridMultilevel"/>
    <w:tmpl w:val="254C5A8A"/>
    <w:lvl w:ilvl="0" w:tplc="DA2435E6">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8709D3"/>
    <w:multiLevelType w:val="hybridMultilevel"/>
    <w:tmpl w:val="62B88746"/>
    <w:lvl w:ilvl="0" w:tplc="4A868AFC">
      <w:start w:val="1"/>
      <w:numFmt w:val="taiwaneseCountingThousand"/>
      <w:lvlText w:val="%1、"/>
      <w:lvlJc w:val="left"/>
      <w:pPr>
        <w:ind w:left="360" w:hanging="360"/>
      </w:pPr>
      <w:rPr>
        <w:rFonts w:hint="eastAsia"/>
        <w:lang w:val="en-US"/>
      </w:rPr>
    </w:lvl>
    <w:lvl w:ilvl="1" w:tplc="29C830FE">
      <w:start w:val="1"/>
      <w:numFmt w:val="taiwaneseCountingThousand"/>
      <w:lvlText w:val="(%2)"/>
      <w:lvlJc w:val="left"/>
      <w:pPr>
        <w:ind w:left="960" w:hanging="480"/>
      </w:pPr>
      <w:rPr>
        <w:rFonts w:ascii="標楷體" w:eastAsia="標楷體" w:hAnsi="標楷體"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701F55"/>
    <w:multiLevelType w:val="hybridMultilevel"/>
    <w:tmpl w:val="62B88746"/>
    <w:lvl w:ilvl="0" w:tplc="4A868AFC">
      <w:start w:val="1"/>
      <w:numFmt w:val="taiwaneseCountingThousand"/>
      <w:lvlText w:val="%1、"/>
      <w:lvlJc w:val="left"/>
      <w:pPr>
        <w:ind w:left="360" w:hanging="360"/>
      </w:pPr>
      <w:rPr>
        <w:rFonts w:hint="eastAsia"/>
        <w:lang w:val="en-US"/>
      </w:rPr>
    </w:lvl>
    <w:lvl w:ilvl="1" w:tplc="29C830FE">
      <w:start w:val="1"/>
      <w:numFmt w:val="taiwaneseCountingThousand"/>
      <w:lvlText w:val="(%2)"/>
      <w:lvlJc w:val="left"/>
      <w:pPr>
        <w:ind w:left="960" w:hanging="480"/>
      </w:pPr>
      <w:rPr>
        <w:rFonts w:ascii="標楷體" w:eastAsia="標楷體" w:hAnsi="標楷體"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BC076F"/>
    <w:multiLevelType w:val="hybridMultilevel"/>
    <w:tmpl w:val="62B88746"/>
    <w:lvl w:ilvl="0" w:tplc="4A868AFC">
      <w:start w:val="1"/>
      <w:numFmt w:val="taiwaneseCountingThousand"/>
      <w:lvlText w:val="%1、"/>
      <w:lvlJc w:val="left"/>
      <w:pPr>
        <w:ind w:left="360" w:hanging="360"/>
      </w:pPr>
      <w:rPr>
        <w:rFonts w:hint="eastAsia"/>
        <w:lang w:val="en-US"/>
      </w:rPr>
    </w:lvl>
    <w:lvl w:ilvl="1" w:tplc="29C830FE">
      <w:start w:val="1"/>
      <w:numFmt w:val="taiwaneseCountingThousand"/>
      <w:lvlText w:val="(%2)"/>
      <w:lvlJc w:val="left"/>
      <w:pPr>
        <w:ind w:left="960" w:hanging="480"/>
      </w:pPr>
      <w:rPr>
        <w:rFonts w:ascii="標楷體" w:eastAsia="標楷體" w:hAnsi="標楷體"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4277E3"/>
    <w:multiLevelType w:val="hybridMultilevel"/>
    <w:tmpl w:val="89E46064"/>
    <w:lvl w:ilvl="0" w:tplc="4A868AFC">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EE3F5E"/>
    <w:multiLevelType w:val="hybridMultilevel"/>
    <w:tmpl w:val="62B88746"/>
    <w:lvl w:ilvl="0" w:tplc="4A868AFC">
      <w:start w:val="1"/>
      <w:numFmt w:val="taiwaneseCountingThousand"/>
      <w:lvlText w:val="%1、"/>
      <w:lvlJc w:val="left"/>
      <w:pPr>
        <w:ind w:left="360" w:hanging="360"/>
      </w:pPr>
      <w:rPr>
        <w:rFonts w:hint="eastAsia"/>
        <w:lang w:val="en-US"/>
      </w:rPr>
    </w:lvl>
    <w:lvl w:ilvl="1" w:tplc="29C830FE">
      <w:start w:val="1"/>
      <w:numFmt w:val="taiwaneseCountingThousand"/>
      <w:lvlText w:val="(%2)"/>
      <w:lvlJc w:val="left"/>
      <w:pPr>
        <w:ind w:left="960" w:hanging="480"/>
      </w:pPr>
      <w:rPr>
        <w:rFonts w:ascii="標楷體" w:eastAsia="標楷體" w:hAnsi="標楷體"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350921"/>
    <w:multiLevelType w:val="hybridMultilevel"/>
    <w:tmpl w:val="254C5A8A"/>
    <w:lvl w:ilvl="0" w:tplc="DA2435E6">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68607B"/>
    <w:multiLevelType w:val="hybridMultilevel"/>
    <w:tmpl w:val="17AEAD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9A36C0"/>
    <w:multiLevelType w:val="hybridMultilevel"/>
    <w:tmpl w:val="62B88746"/>
    <w:lvl w:ilvl="0" w:tplc="4A868AFC">
      <w:start w:val="1"/>
      <w:numFmt w:val="taiwaneseCountingThousand"/>
      <w:lvlText w:val="%1、"/>
      <w:lvlJc w:val="left"/>
      <w:pPr>
        <w:ind w:left="360" w:hanging="360"/>
      </w:pPr>
      <w:rPr>
        <w:rFonts w:hint="eastAsia"/>
        <w:lang w:val="en-US"/>
      </w:rPr>
    </w:lvl>
    <w:lvl w:ilvl="1" w:tplc="29C830FE">
      <w:start w:val="1"/>
      <w:numFmt w:val="taiwaneseCountingThousand"/>
      <w:lvlText w:val="(%2)"/>
      <w:lvlJc w:val="left"/>
      <w:pPr>
        <w:ind w:left="960" w:hanging="480"/>
      </w:pPr>
      <w:rPr>
        <w:rFonts w:ascii="標楷體" w:eastAsia="標楷體" w:hAnsi="標楷體"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403E9E"/>
    <w:multiLevelType w:val="hybridMultilevel"/>
    <w:tmpl w:val="254C5A8A"/>
    <w:lvl w:ilvl="0" w:tplc="DA2435E6">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F436D"/>
    <w:multiLevelType w:val="hybridMultilevel"/>
    <w:tmpl w:val="62B88746"/>
    <w:lvl w:ilvl="0" w:tplc="4A868AFC">
      <w:start w:val="1"/>
      <w:numFmt w:val="taiwaneseCountingThousand"/>
      <w:lvlText w:val="%1、"/>
      <w:lvlJc w:val="left"/>
      <w:pPr>
        <w:ind w:left="360" w:hanging="360"/>
      </w:pPr>
      <w:rPr>
        <w:rFonts w:hint="eastAsia"/>
        <w:lang w:val="en-US"/>
      </w:rPr>
    </w:lvl>
    <w:lvl w:ilvl="1" w:tplc="29C830FE">
      <w:start w:val="1"/>
      <w:numFmt w:val="taiwaneseCountingThousand"/>
      <w:lvlText w:val="(%2)"/>
      <w:lvlJc w:val="left"/>
      <w:pPr>
        <w:ind w:left="960" w:hanging="480"/>
      </w:pPr>
      <w:rPr>
        <w:rFonts w:ascii="標楷體" w:eastAsia="標楷體" w:hAnsi="標楷體"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6A05A0"/>
    <w:multiLevelType w:val="hybridMultilevel"/>
    <w:tmpl w:val="254C5A8A"/>
    <w:lvl w:ilvl="0" w:tplc="DA2435E6">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3914E6"/>
    <w:multiLevelType w:val="hybridMultilevel"/>
    <w:tmpl w:val="254C5A8A"/>
    <w:lvl w:ilvl="0" w:tplc="DA2435E6">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4D65C5"/>
    <w:multiLevelType w:val="hybridMultilevel"/>
    <w:tmpl w:val="62B88746"/>
    <w:lvl w:ilvl="0" w:tplc="4A868AFC">
      <w:start w:val="1"/>
      <w:numFmt w:val="taiwaneseCountingThousand"/>
      <w:lvlText w:val="%1、"/>
      <w:lvlJc w:val="left"/>
      <w:pPr>
        <w:ind w:left="360" w:hanging="360"/>
      </w:pPr>
      <w:rPr>
        <w:rFonts w:hint="eastAsia"/>
        <w:lang w:val="en-US"/>
      </w:rPr>
    </w:lvl>
    <w:lvl w:ilvl="1" w:tplc="29C830FE">
      <w:start w:val="1"/>
      <w:numFmt w:val="taiwaneseCountingThousand"/>
      <w:lvlText w:val="(%2)"/>
      <w:lvlJc w:val="left"/>
      <w:pPr>
        <w:ind w:left="960" w:hanging="480"/>
      </w:pPr>
      <w:rPr>
        <w:rFonts w:ascii="標楷體" w:eastAsia="標楷體" w:hAnsi="標楷體"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0B746C"/>
    <w:multiLevelType w:val="hybridMultilevel"/>
    <w:tmpl w:val="89E46064"/>
    <w:lvl w:ilvl="0" w:tplc="4A868AFC">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561588"/>
    <w:multiLevelType w:val="hybridMultilevel"/>
    <w:tmpl w:val="2870D18C"/>
    <w:lvl w:ilvl="0" w:tplc="78E8C48E">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6F6C4868"/>
    <w:multiLevelType w:val="hybridMultilevel"/>
    <w:tmpl w:val="254C5A8A"/>
    <w:lvl w:ilvl="0" w:tplc="DA2435E6">
      <w:start w:val="1"/>
      <w:numFmt w:val="taiwaneseCountingThousand"/>
      <w:lvlText w:val="%1、"/>
      <w:lvlJc w:val="left"/>
      <w:pPr>
        <w:ind w:left="360" w:hanging="36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6"/>
  </w:num>
  <w:num w:numId="3">
    <w:abstractNumId w:val="11"/>
  </w:num>
  <w:num w:numId="4">
    <w:abstractNumId w:val="0"/>
  </w:num>
  <w:num w:numId="5">
    <w:abstractNumId w:val="4"/>
  </w:num>
  <w:num w:numId="6">
    <w:abstractNumId w:val="12"/>
  </w:num>
  <w:num w:numId="7">
    <w:abstractNumId w:val="9"/>
  </w:num>
  <w:num w:numId="8">
    <w:abstractNumId w:val="15"/>
  </w:num>
  <w:num w:numId="9">
    <w:abstractNumId w:val="1"/>
  </w:num>
  <w:num w:numId="10">
    <w:abstractNumId w:val="2"/>
  </w:num>
  <w:num w:numId="11">
    <w:abstractNumId w:val="8"/>
  </w:num>
  <w:num w:numId="12">
    <w:abstractNumId w:val="6"/>
  </w:num>
  <w:num w:numId="13">
    <w:abstractNumId w:val="10"/>
  </w:num>
  <w:num w:numId="14">
    <w:abstractNumId w:val="5"/>
  </w:num>
  <w:num w:numId="15">
    <w:abstractNumId w:val="3"/>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zh-TW" w:vendorID="64" w:dllVersion="131077" w:nlCheck="1" w:checkStyle="1"/>
  <w:activeWritingStyle w:appName="MSWord" w:lang="en-US" w:vendorID="64" w:dllVersion="131077" w:nlCheck="1" w:checkStyle="1"/>
  <w:activeWritingStyle w:appName="MSWord" w:lang="en-US" w:vendorID="64" w:dllVersion="131078" w:nlCheck="1" w:checkStyle="1"/>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A3C"/>
    <w:rsid w:val="00001308"/>
    <w:rsid w:val="00001AF8"/>
    <w:rsid w:val="00002827"/>
    <w:rsid w:val="00005CD3"/>
    <w:rsid w:val="000064DE"/>
    <w:rsid w:val="00010E96"/>
    <w:rsid w:val="00013A0B"/>
    <w:rsid w:val="00013D4F"/>
    <w:rsid w:val="0002000C"/>
    <w:rsid w:val="0002424D"/>
    <w:rsid w:val="00024E64"/>
    <w:rsid w:val="00032534"/>
    <w:rsid w:val="00035F2F"/>
    <w:rsid w:val="00042F5D"/>
    <w:rsid w:val="000465DC"/>
    <w:rsid w:val="00051A23"/>
    <w:rsid w:val="00060651"/>
    <w:rsid w:val="00061519"/>
    <w:rsid w:val="00064D50"/>
    <w:rsid w:val="00065D3F"/>
    <w:rsid w:val="00066046"/>
    <w:rsid w:val="00071A87"/>
    <w:rsid w:val="00075460"/>
    <w:rsid w:val="00077B8D"/>
    <w:rsid w:val="0008093E"/>
    <w:rsid w:val="00082EBE"/>
    <w:rsid w:val="00086E39"/>
    <w:rsid w:val="00092FE7"/>
    <w:rsid w:val="000B057B"/>
    <w:rsid w:val="000B1C89"/>
    <w:rsid w:val="000B1DB3"/>
    <w:rsid w:val="000B200A"/>
    <w:rsid w:val="000B6A3B"/>
    <w:rsid w:val="000C2072"/>
    <w:rsid w:val="000C33D8"/>
    <w:rsid w:val="000E0802"/>
    <w:rsid w:val="000E4DBF"/>
    <w:rsid w:val="000F5E32"/>
    <w:rsid w:val="000F6962"/>
    <w:rsid w:val="00102341"/>
    <w:rsid w:val="00103746"/>
    <w:rsid w:val="00107962"/>
    <w:rsid w:val="00110BF9"/>
    <w:rsid w:val="00112D4F"/>
    <w:rsid w:val="001139B7"/>
    <w:rsid w:val="00121266"/>
    <w:rsid w:val="0012222F"/>
    <w:rsid w:val="001234B1"/>
    <w:rsid w:val="00124F50"/>
    <w:rsid w:val="00132830"/>
    <w:rsid w:val="00133739"/>
    <w:rsid w:val="00134839"/>
    <w:rsid w:val="0013622C"/>
    <w:rsid w:val="00136DEA"/>
    <w:rsid w:val="00137944"/>
    <w:rsid w:val="00141ABB"/>
    <w:rsid w:val="00141F8C"/>
    <w:rsid w:val="0014349C"/>
    <w:rsid w:val="00147B98"/>
    <w:rsid w:val="00150C6D"/>
    <w:rsid w:val="00155A08"/>
    <w:rsid w:val="00160D2A"/>
    <w:rsid w:val="0017139C"/>
    <w:rsid w:val="00177CBA"/>
    <w:rsid w:val="00185763"/>
    <w:rsid w:val="00185E6F"/>
    <w:rsid w:val="00187445"/>
    <w:rsid w:val="00187B68"/>
    <w:rsid w:val="00197F63"/>
    <w:rsid w:val="001A0722"/>
    <w:rsid w:val="001A16F7"/>
    <w:rsid w:val="001A1BBE"/>
    <w:rsid w:val="001A235F"/>
    <w:rsid w:val="001A3EAC"/>
    <w:rsid w:val="001A4AF8"/>
    <w:rsid w:val="001B1027"/>
    <w:rsid w:val="001B2F79"/>
    <w:rsid w:val="001B6136"/>
    <w:rsid w:val="001C1254"/>
    <w:rsid w:val="001C3CE5"/>
    <w:rsid w:val="001C5919"/>
    <w:rsid w:val="001D1704"/>
    <w:rsid w:val="001D47A9"/>
    <w:rsid w:val="001D4F7F"/>
    <w:rsid w:val="001D7C86"/>
    <w:rsid w:val="001D7F28"/>
    <w:rsid w:val="001E31A9"/>
    <w:rsid w:val="00206E7D"/>
    <w:rsid w:val="002174C5"/>
    <w:rsid w:val="00225A46"/>
    <w:rsid w:val="002264C1"/>
    <w:rsid w:val="00240737"/>
    <w:rsid w:val="00246985"/>
    <w:rsid w:val="002555BC"/>
    <w:rsid w:val="002602F6"/>
    <w:rsid w:val="002647AF"/>
    <w:rsid w:val="00265CA7"/>
    <w:rsid w:val="0026628A"/>
    <w:rsid w:val="00267F31"/>
    <w:rsid w:val="00267FD7"/>
    <w:rsid w:val="0027233B"/>
    <w:rsid w:val="002839EE"/>
    <w:rsid w:val="00284F8E"/>
    <w:rsid w:val="00286B66"/>
    <w:rsid w:val="002947CC"/>
    <w:rsid w:val="002A32A8"/>
    <w:rsid w:val="002B50EE"/>
    <w:rsid w:val="002B59F9"/>
    <w:rsid w:val="002B5DC4"/>
    <w:rsid w:val="002C0A92"/>
    <w:rsid w:val="002C3C39"/>
    <w:rsid w:val="002C560D"/>
    <w:rsid w:val="002C6F1A"/>
    <w:rsid w:val="002C77DF"/>
    <w:rsid w:val="002C78D3"/>
    <w:rsid w:val="002D0806"/>
    <w:rsid w:val="002D10D6"/>
    <w:rsid w:val="002E14B0"/>
    <w:rsid w:val="002E17DD"/>
    <w:rsid w:val="002E46DD"/>
    <w:rsid w:val="002F1B7F"/>
    <w:rsid w:val="002F2D1D"/>
    <w:rsid w:val="002F6556"/>
    <w:rsid w:val="003010D3"/>
    <w:rsid w:val="003052B8"/>
    <w:rsid w:val="00307EB9"/>
    <w:rsid w:val="003121B5"/>
    <w:rsid w:val="003135DC"/>
    <w:rsid w:val="003156D8"/>
    <w:rsid w:val="0031572E"/>
    <w:rsid w:val="00315A2C"/>
    <w:rsid w:val="00320A62"/>
    <w:rsid w:val="003217F1"/>
    <w:rsid w:val="00321A22"/>
    <w:rsid w:val="00321BC4"/>
    <w:rsid w:val="003232DD"/>
    <w:rsid w:val="00323E58"/>
    <w:rsid w:val="00326446"/>
    <w:rsid w:val="003306E6"/>
    <w:rsid w:val="00335707"/>
    <w:rsid w:val="00337CAB"/>
    <w:rsid w:val="00345AC7"/>
    <w:rsid w:val="00350A62"/>
    <w:rsid w:val="00356A91"/>
    <w:rsid w:val="0035746F"/>
    <w:rsid w:val="0035765D"/>
    <w:rsid w:val="00357A7F"/>
    <w:rsid w:val="003644A9"/>
    <w:rsid w:val="003711AD"/>
    <w:rsid w:val="003718B3"/>
    <w:rsid w:val="00377B0B"/>
    <w:rsid w:val="0038083B"/>
    <w:rsid w:val="00384223"/>
    <w:rsid w:val="00397441"/>
    <w:rsid w:val="003A5EAC"/>
    <w:rsid w:val="003B7CDA"/>
    <w:rsid w:val="003D0B76"/>
    <w:rsid w:val="003D2A51"/>
    <w:rsid w:val="003D32A7"/>
    <w:rsid w:val="003E15F7"/>
    <w:rsid w:val="003F05EC"/>
    <w:rsid w:val="003F08F3"/>
    <w:rsid w:val="003F514E"/>
    <w:rsid w:val="003F67EA"/>
    <w:rsid w:val="004004A2"/>
    <w:rsid w:val="004140C3"/>
    <w:rsid w:val="00421B52"/>
    <w:rsid w:val="00424D2C"/>
    <w:rsid w:val="00426603"/>
    <w:rsid w:val="004276B3"/>
    <w:rsid w:val="00430AEF"/>
    <w:rsid w:val="00431265"/>
    <w:rsid w:val="004329D3"/>
    <w:rsid w:val="00437382"/>
    <w:rsid w:val="00437ECA"/>
    <w:rsid w:val="00450167"/>
    <w:rsid w:val="00450B51"/>
    <w:rsid w:val="00452C8A"/>
    <w:rsid w:val="00460EAA"/>
    <w:rsid w:val="004625BA"/>
    <w:rsid w:val="00466EFF"/>
    <w:rsid w:val="004703F8"/>
    <w:rsid w:val="00476261"/>
    <w:rsid w:val="004777F9"/>
    <w:rsid w:val="004862C9"/>
    <w:rsid w:val="004874B5"/>
    <w:rsid w:val="004968CE"/>
    <w:rsid w:val="004A3400"/>
    <w:rsid w:val="004A3865"/>
    <w:rsid w:val="004A7062"/>
    <w:rsid w:val="004B1B9B"/>
    <w:rsid w:val="004B5A29"/>
    <w:rsid w:val="004B73DD"/>
    <w:rsid w:val="004C1A7E"/>
    <w:rsid w:val="004C51CA"/>
    <w:rsid w:val="004D4FBB"/>
    <w:rsid w:val="004D554E"/>
    <w:rsid w:val="004E0E45"/>
    <w:rsid w:val="004E421F"/>
    <w:rsid w:val="004E46BC"/>
    <w:rsid w:val="004E7F0D"/>
    <w:rsid w:val="004F0F6F"/>
    <w:rsid w:val="004F1AEC"/>
    <w:rsid w:val="004F7CC3"/>
    <w:rsid w:val="00500B32"/>
    <w:rsid w:val="00500D34"/>
    <w:rsid w:val="00505207"/>
    <w:rsid w:val="005110A1"/>
    <w:rsid w:val="005277BB"/>
    <w:rsid w:val="005328BB"/>
    <w:rsid w:val="00534720"/>
    <w:rsid w:val="0053768A"/>
    <w:rsid w:val="00540310"/>
    <w:rsid w:val="00541DA1"/>
    <w:rsid w:val="005444E3"/>
    <w:rsid w:val="00546E50"/>
    <w:rsid w:val="00551B35"/>
    <w:rsid w:val="00551DAD"/>
    <w:rsid w:val="00552974"/>
    <w:rsid w:val="00552A61"/>
    <w:rsid w:val="005540F2"/>
    <w:rsid w:val="00557277"/>
    <w:rsid w:val="00562E4D"/>
    <w:rsid w:val="00565997"/>
    <w:rsid w:val="00577CDE"/>
    <w:rsid w:val="005907B3"/>
    <w:rsid w:val="00592FDF"/>
    <w:rsid w:val="00595C2E"/>
    <w:rsid w:val="005A025F"/>
    <w:rsid w:val="005A092F"/>
    <w:rsid w:val="005A59EB"/>
    <w:rsid w:val="005B4716"/>
    <w:rsid w:val="005D0DDC"/>
    <w:rsid w:val="005D4CAC"/>
    <w:rsid w:val="005D6F4D"/>
    <w:rsid w:val="005E3D57"/>
    <w:rsid w:val="005E5512"/>
    <w:rsid w:val="005E55CC"/>
    <w:rsid w:val="005E7EAF"/>
    <w:rsid w:val="005F337F"/>
    <w:rsid w:val="005F5CFD"/>
    <w:rsid w:val="006005E7"/>
    <w:rsid w:val="0062672F"/>
    <w:rsid w:val="00632891"/>
    <w:rsid w:val="006357C5"/>
    <w:rsid w:val="00640B13"/>
    <w:rsid w:val="0064195E"/>
    <w:rsid w:val="0064504B"/>
    <w:rsid w:val="0064663F"/>
    <w:rsid w:val="00647E31"/>
    <w:rsid w:val="006514B8"/>
    <w:rsid w:val="00656C9E"/>
    <w:rsid w:val="00657951"/>
    <w:rsid w:val="00661A96"/>
    <w:rsid w:val="00666104"/>
    <w:rsid w:val="006730AC"/>
    <w:rsid w:val="00674D64"/>
    <w:rsid w:val="006754AE"/>
    <w:rsid w:val="0067631F"/>
    <w:rsid w:val="00681929"/>
    <w:rsid w:val="00687E0A"/>
    <w:rsid w:val="0069373F"/>
    <w:rsid w:val="006949DE"/>
    <w:rsid w:val="006A19CC"/>
    <w:rsid w:val="006A22B6"/>
    <w:rsid w:val="006A43CE"/>
    <w:rsid w:val="006A5EDF"/>
    <w:rsid w:val="006B0888"/>
    <w:rsid w:val="006C10FE"/>
    <w:rsid w:val="006D199D"/>
    <w:rsid w:val="006F7AF9"/>
    <w:rsid w:val="007027AA"/>
    <w:rsid w:val="00703CD8"/>
    <w:rsid w:val="00703D80"/>
    <w:rsid w:val="00706072"/>
    <w:rsid w:val="007106DF"/>
    <w:rsid w:val="00720C5B"/>
    <w:rsid w:val="00731843"/>
    <w:rsid w:val="00733694"/>
    <w:rsid w:val="007354F0"/>
    <w:rsid w:val="00737341"/>
    <w:rsid w:val="0073744B"/>
    <w:rsid w:val="00741406"/>
    <w:rsid w:val="00741D3E"/>
    <w:rsid w:val="00751195"/>
    <w:rsid w:val="0075126F"/>
    <w:rsid w:val="007540F8"/>
    <w:rsid w:val="007552F3"/>
    <w:rsid w:val="007554DF"/>
    <w:rsid w:val="00760291"/>
    <w:rsid w:val="007673FC"/>
    <w:rsid w:val="007675C1"/>
    <w:rsid w:val="007732CB"/>
    <w:rsid w:val="00774621"/>
    <w:rsid w:val="00774C7A"/>
    <w:rsid w:val="007759E3"/>
    <w:rsid w:val="00776C41"/>
    <w:rsid w:val="00777F1A"/>
    <w:rsid w:val="00782AFD"/>
    <w:rsid w:val="007846C3"/>
    <w:rsid w:val="00790D4A"/>
    <w:rsid w:val="00795BFA"/>
    <w:rsid w:val="007A3AB4"/>
    <w:rsid w:val="007A72DF"/>
    <w:rsid w:val="007A73BD"/>
    <w:rsid w:val="007B31AB"/>
    <w:rsid w:val="007B7C7D"/>
    <w:rsid w:val="007C25EE"/>
    <w:rsid w:val="007C73B8"/>
    <w:rsid w:val="007D1D46"/>
    <w:rsid w:val="007D59A0"/>
    <w:rsid w:val="007D5B08"/>
    <w:rsid w:val="007E26BA"/>
    <w:rsid w:val="007F257B"/>
    <w:rsid w:val="00802E26"/>
    <w:rsid w:val="00804D0E"/>
    <w:rsid w:val="008059E1"/>
    <w:rsid w:val="008107FC"/>
    <w:rsid w:val="008111A5"/>
    <w:rsid w:val="00816E3F"/>
    <w:rsid w:val="00822DA7"/>
    <w:rsid w:val="008236EB"/>
    <w:rsid w:val="0082592F"/>
    <w:rsid w:val="00830340"/>
    <w:rsid w:val="00835953"/>
    <w:rsid w:val="00842511"/>
    <w:rsid w:val="0084312E"/>
    <w:rsid w:val="00843C96"/>
    <w:rsid w:val="00851A7F"/>
    <w:rsid w:val="00853269"/>
    <w:rsid w:val="008533FA"/>
    <w:rsid w:val="00853CD6"/>
    <w:rsid w:val="00861EA8"/>
    <w:rsid w:val="00862385"/>
    <w:rsid w:val="00863A1C"/>
    <w:rsid w:val="00863E8A"/>
    <w:rsid w:val="00864626"/>
    <w:rsid w:val="00864C0B"/>
    <w:rsid w:val="00875D2B"/>
    <w:rsid w:val="00876660"/>
    <w:rsid w:val="00880F5D"/>
    <w:rsid w:val="008903D4"/>
    <w:rsid w:val="008938FD"/>
    <w:rsid w:val="00894983"/>
    <w:rsid w:val="00895DA5"/>
    <w:rsid w:val="008A4E3C"/>
    <w:rsid w:val="008A6AD5"/>
    <w:rsid w:val="008A7710"/>
    <w:rsid w:val="008B55B1"/>
    <w:rsid w:val="008B7EF7"/>
    <w:rsid w:val="008C732E"/>
    <w:rsid w:val="008D353B"/>
    <w:rsid w:val="008D65EF"/>
    <w:rsid w:val="008D763D"/>
    <w:rsid w:val="008D7C10"/>
    <w:rsid w:val="008E673D"/>
    <w:rsid w:val="008F441A"/>
    <w:rsid w:val="00900D5C"/>
    <w:rsid w:val="00906DEC"/>
    <w:rsid w:val="00907BE5"/>
    <w:rsid w:val="00910F8C"/>
    <w:rsid w:val="009123A6"/>
    <w:rsid w:val="00925BEF"/>
    <w:rsid w:val="00935CB1"/>
    <w:rsid w:val="00935F50"/>
    <w:rsid w:val="00936A92"/>
    <w:rsid w:val="009436BC"/>
    <w:rsid w:val="00944E8F"/>
    <w:rsid w:val="00944F69"/>
    <w:rsid w:val="009463E9"/>
    <w:rsid w:val="0095561F"/>
    <w:rsid w:val="009558FE"/>
    <w:rsid w:val="0096230A"/>
    <w:rsid w:val="0096773D"/>
    <w:rsid w:val="00970B47"/>
    <w:rsid w:val="00971C02"/>
    <w:rsid w:val="00974E4D"/>
    <w:rsid w:val="009815AA"/>
    <w:rsid w:val="00982BA1"/>
    <w:rsid w:val="009922E8"/>
    <w:rsid w:val="009941FC"/>
    <w:rsid w:val="009A4CC0"/>
    <w:rsid w:val="009A7026"/>
    <w:rsid w:val="009A7260"/>
    <w:rsid w:val="009B44C1"/>
    <w:rsid w:val="009B4FD9"/>
    <w:rsid w:val="009B7040"/>
    <w:rsid w:val="009C25E9"/>
    <w:rsid w:val="009C6A42"/>
    <w:rsid w:val="009D1F2C"/>
    <w:rsid w:val="009F0419"/>
    <w:rsid w:val="009F33BB"/>
    <w:rsid w:val="00A0115A"/>
    <w:rsid w:val="00A0490D"/>
    <w:rsid w:val="00A10CF8"/>
    <w:rsid w:val="00A14506"/>
    <w:rsid w:val="00A16E04"/>
    <w:rsid w:val="00A23378"/>
    <w:rsid w:val="00A234CC"/>
    <w:rsid w:val="00A2605E"/>
    <w:rsid w:val="00A32B84"/>
    <w:rsid w:val="00A34D20"/>
    <w:rsid w:val="00A35B9F"/>
    <w:rsid w:val="00A369BE"/>
    <w:rsid w:val="00A4420E"/>
    <w:rsid w:val="00A45666"/>
    <w:rsid w:val="00A52289"/>
    <w:rsid w:val="00A561C7"/>
    <w:rsid w:val="00A61398"/>
    <w:rsid w:val="00A615B0"/>
    <w:rsid w:val="00A61A5F"/>
    <w:rsid w:val="00A66496"/>
    <w:rsid w:val="00A66DB6"/>
    <w:rsid w:val="00A712EB"/>
    <w:rsid w:val="00A7468C"/>
    <w:rsid w:val="00A760A1"/>
    <w:rsid w:val="00A80EB2"/>
    <w:rsid w:val="00A850B5"/>
    <w:rsid w:val="00A93B27"/>
    <w:rsid w:val="00A945CB"/>
    <w:rsid w:val="00A9483C"/>
    <w:rsid w:val="00A94DC2"/>
    <w:rsid w:val="00A96B83"/>
    <w:rsid w:val="00A96D74"/>
    <w:rsid w:val="00AA1DA7"/>
    <w:rsid w:val="00AA222D"/>
    <w:rsid w:val="00AA66C6"/>
    <w:rsid w:val="00AA6EB1"/>
    <w:rsid w:val="00AA76C3"/>
    <w:rsid w:val="00AB188D"/>
    <w:rsid w:val="00AB1C41"/>
    <w:rsid w:val="00AB62DF"/>
    <w:rsid w:val="00AB7111"/>
    <w:rsid w:val="00AC4F06"/>
    <w:rsid w:val="00AC7643"/>
    <w:rsid w:val="00AC77D7"/>
    <w:rsid w:val="00AC7CB8"/>
    <w:rsid w:val="00AC7F1D"/>
    <w:rsid w:val="00AC7F71"/>
    <w:rsid w:val="00AD0C5B"/>
    <w:rsid w:val="00AD1654"/>
    <w:rsid w:val="00AD56A2"/>
    <w:rsid w:val="00AE2969"/>
    <w:rsid w:val="00AE5DF4"/>
    <w:rsid w:val="00AF1380"/>
    <w:rsid w:val="00AF1C4D"/>
    <w:rsid w:val="00AF21A2"/>
    <w:rsid w:val="00AF4A85"/>
    <w:rsid w:val="00AF4DDF"/>
    <w:rsid w:val="00AF68F0"/>
    <w:rsid w:val="00AF708A"/>
    <w:rsid w:val="00B12C93"/>
    <w:rsid w:val="00B15CD0"/>
    <w:rsid w:val="00B205AE"/>
    <w:rsid w:val="00B23EAC"/>
    <w:rsid w:val="00B2622F"/>
    <w:rsid w:val="00B35EF0"/>
    <w:rsid w:val="00B3783A"/>
    <w:rsid w:val="00B412B1"/>
    <w:rsid w:val="00B42BB0"/>
    <w:rsid w:val="00B445A7"/>
    <w:rsid w:val="00B53508"/>
    <w:rsid w:val="00B63A81"/>
    <w:rsid w:val="00B64516"/>
    <w:rsid w:val="00B65A1F"/>
    <w:rsid w:val="00B65AA0"/>
    <w:rsid w:val="00B65FDC"/>
    <w:rsid w:val="00B6709C"/>
    <w:rsid w:val="00B71CA4"/>
    <w:rsid w:val="00B74439"/>
    <w:rsid w:val="00B75210"/>
    <w:rsid w:val="00B84612"/>
    <w:rsid w:val="00B850AA"/>
    <w:rsid w:val="00B87EF9"/>
    <w:rsid w:val="00B951DD"/>
    <w:rsid w:val="00B960C5"/>
    <w:rsid w:val="00B96570"/>
    <w:rsid w:val="00B97762"/>
    <w:rsid w:val="00BA7128"/>
    <w:rsid w:val="00BB55C4"/>
    <w:rsid w:val="00BB722F"/>
    <w:rsid w:val="00BC1373"/>
    <w:rsid w:val="00BC6726"/>
    <w:rsid w:val="00BD019F"/>
    <w:rsid w:val="00BD43B9"/>
    <w:rsid w:val="00BD718D"/>
    <w:rsid w:val="00BE0439"/>
    <w:rsid w:val="00BE2CFB"/>
    <w:rsid w:val="00BF000E"/>
    <w:rsid w:val="00BF12B8"/>
    <w:rsid w:val="00BF1948"/>
    <w:rsid w:val="00BF2A30"/>
    <w:rsid w:val="00BF4CDB"/>
    <w:rsid w:val="00BF6D93"/>
    <w:rsid w:val="00C00498"/>
    <w:rsid w:val="00C01C24"/>
    <w:rsid w:val="00C05748"/>
    <w:rsid w:val="00C07CA5"/>
    <w:rsid w:val="00C10307"/>
    <w:rsid w:val="00C159BC"/>
    <w:rsid w:val="00C220E1"/>
    <w:rsid w:val="00C23C99"/>
    <w:rsid w:val="00C24161"/>
    <w:rsid w:val="00C2441F"/>
    <w:rsid w:val="00C26011"/>
    <w:rsid w:val="00C30DB5"/>
    <w:rsid w:val="00C31513"/>
    <w:rsid w:val="00C3478D"/>
    <w:rsid w:val="00C37659"/>
    <w:rsid w:val="00C3791B"/>
    <w:rsid w:val="00C412A8"/>
    <w:rsid w:val="00C42823"/>
    <w:rsid w:val="00C47943"/>
    <w:rsid w:val="00C5470F"/>
    <w:rsid w:val="00C60E0C"/>
    <w:rsid w:val="00C700BD"/>
    <w:rsid w:val="00C7129D"/>
    <w:rsid w:val="00C73EC8"/>
    <w:rsid w:val="00C768A7"/>
    <w:rsid w:val="00C84548"/>
    <w:rsid w:val="00C84DBE"/>
    <w:rsid w:val="00C876D9"/>
    <w:rsid w:val="00C93261"/>
    <w:rsid w:val="00C969C1"/>
    <w:rsid w:val="00CA06C6"/>
    <w:rsid w:val="00CA1408"/>
    <w:rsid w:val="00CA42EE"/>
    <w:rsid w:val="00CA5605"/>
    <w:rsid w:val="00CA6417"/>
    <w:rsid w:val="00CC0E3C"/>
    <w:rsid w:val="00CC408C"/>
    <w:rsid w:val="00CC493A"/>
    <w:rsid w:val="00CC6853"/>
    <w:rsid w:val="00CD3A25"/>
    <w:rsid w:val="00CE5D21"/>
    <w:rsid w:val="00CE7D47"/>
    <w:rsid w:val="00CF0B06"/>
    <w:rsid w:val="00D01ACE"/>
    <w:rsid w:val="00D04E3B"/>
    <w:rsid w:val="00D12B68"/>
    <w:rsid w:val="00D179DE"/>
    <w:rsid w:val="00D2076A"/>
    <w:rsid w:val="00D235AE"/>
    <w:rsid w:val="00D322AB"/>
    <w:rsid w:val="00D3410F"/>
    <w:rsid w:val="00D36D9F"/>
    <w:rsid w:val="00D420DF"/>
    <w:rsid w:val="00D440C2"/>
    <w:rsid w:val="00D5459C"/>
    <w:rsid w:val="00D61D91"/>
    <w:rsid w:val="00D6474D"/>
    <w:rsid w:val="00D65CB1"/>
    <w:rsid w:val="00D66B5F"/>
    <w:rsid w:val="00D72023"/>
    <w:rsid w:val="00D819A4"/>
    <w:rsid w:val="00D85C27"/>
    <w:rsid w:val="00D86EB7"/>
    <w:rsid w:val="00D9342B"/>
    <w:rsid w:val="00D93DFA"/>
    <w:rsid w:val="00D9624C"/>
    <w:rsid w:val="00DA2B15"/>
    <w:rsid w:val="00DA2FD2"/>
    <w:rsid w:val="00DA35DB"/>
    <w:rsid w:val="00DA3E31"/>
    <w:rsid w:val="00DB7462"/>
    <w:rsid w:val="00DC29D5"/>
    <w:rsid w:val="00DC5320"/>
    <w:rsid w:val="00DD0191"/>
    <w:rsid w:val="00DE26D9"/>
    <w:rsid w:val="00DE2DB3"/>
    <w:rsid w:val="00E02BCF"/>
    <w:rsid w:val="00E0637B"/>
    <w:rsid w:val="00E07247"/>
    <w:rsid w:val="00E13F01"/>
    <w:rsid w:val="00E16C22"/>
    <w:rsid w:val="00E170FC"/>
    <w:rsid w:val="00E23186"/>
    <w:rsid w:val="00E2411A"/>
    <w:rsid w:val="00E301F2"/>
    <w:rsid w:val="00E4483B"/>
    <w:rsid w:val="00E45B37"/>
    <w:rsid w:val="00E609E4"/>
    <w:rsid w:val="00E6181D"/>
    <w:rsid w:val="00E666A8"/>
    <w:rsid w:val="00E80506"/>
    <w:rsid w:val="00E809F9"/>
    <w:rsid w:val="00E83571"/>
    <w:rsid w:val="00E90796"/>
    <w:rsid w:val="00E90D2A"/>
    <w:rsid w:val="00E93580"/>
    <w:rsid w:val="00E93B04"/>
    <w:rsid w:val="00E95D3C"/>
    <w:rsid w:val="00E979D1"/>
    <w:rsid w:val="00E97CD7"/>
    <w:rsid w:val="00EA005C"/>
    <w:rsid w:val="00EA0AA2"/>
    <w:rsid w:val="00EA0BB3"/>
    <w:rsid w:val="00EA460C"/>
    <w:rsid w:val="00EA553D"/>
    <w:rsid w:val="00EA603A"/>
    <w:rsid w:val="00EB16B9"/>
    <w:rsid w:val="00EC17D7"/>
    <w:rsid w:val="00EC49D0"/>
    <w:rsid w:val="00EC59BD"/>
    <w:rsid w:val="00ED0123"/>
    <w:rsid w:val="00ED0A93"/>
    <w:rsid w:val="00ED2777"/>
    <w:rsid w:val="00ED59C7"/>
    <w:rsid w:val="00EF3CC6"/>
    <w:rsid w:val="00F0513D"/>
    <w:rsid w:val="00F07044"/>
    <w:rsid w:val="00F12D17"/>
    <w:rsid w:val="00F1587B"/>
    <w:rsid w:val="00F20440"/>
    <w:rsid w:val="00F261F5"/>
    <w:rsid w:val="00F30849"/>
    <w:rsid w:val="00F3413A"/>
    <w:rsid w:val="00F374A4"/>
    <w:rsid w:val="00F37BB3"/>
    <w:rsid w:val="00F443A3"/>
    <w:rsid w:val="00F46349"/>
    <w:rsid w:val="00F46FAF"/>
    <w:rsid w:val="00F5101E"/>
    <w:rsid w:val="00F54A86"/>
    <w:rsid w:val="00F56969"/>
    <w:rsid w:val="00F60A3C"/>
    <w:rsid w:val="00F66723"/>
    <w:rsid w:val="00F673FE"/>
    <w:rsid w:val="00F76102"/>
    <w:rsid w:val="00F778BB"/>
    <w:rsid w:val="00F77ADB"/>
    <w:rsid w:val="00F77F22"/>
    <w:rsid w:val="00F8086C"/>
    <w:rsid w:val="00F808D5"/>
    <w:rsid w:val="00F81330"/>
    <w:rsid w:val="00F81EB3"/>
    <w:rsid w:val="00F82432"/>
    <w:rsid w:val="00F827E0"/>
    <w:rsid w:val="00F84AD5"/>
    <w:rsid w:val="00F85DEC"/>
    <w:rsid w:val="00F86C4A"/>
    <w:rsid w:val="00F92221"/>
    <w:rsid w:val="00F9674A"/>
    <w:rsid w:val="00FA1563"/>
    <w:rsid w:val="00FA20E6"/>
    <w:rsid w:val="00FA2519"/>
    <w:rsid w:val="00FA76ED"/>
    <w:rsid w:val="00FB0A94"/>
    <w:rsid w:val="00FB2318"/>
    <w:rsid w:val="00FB23B5"/>
    <w:rsid w:val="00FC02FD"/>
    <w:rsid w:val="00FC127C"/>
    <w:rsid w:val="00FC1983"/>
    <w:rsid w:val="00FC463D"/>
    <w:rsid w:val="00FC6332"/>
    <w:rsid w:val="00FD2773"/>
    <w:rsid w:val="00FD7012"/>
    <w:rsid w:val="00FD7EAF"/>
    <w:rsid w:val="00FE1394"/>
    <w:rsid w:val="00FE224D"/>
    <w:rsid w:val="00FF2F51"/>
    <w:rsid w:val="00FF5117"/>
    <w:rsid w:val="00FF69F0"/>
    <w:rsid w:val="00FF728A"/>
    <w:rsid w:val="00FF7A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szCs w:val="18"/>
    </w:rPr>
  </w:style>
  <w:style w:type="paragraph" w:styleId="a4">
    <w:name w:val="annotation text"/>
    <w:basedOn w:val="a"/>
    <w:semiHidden/>
  </w:style>
  <w:style w:type="paragraph" w:styleId="a5">
    <w:name w:val="Body Text"/>
    <w:basedOn w:val="a"/>
    <w:pPr>
      <w:snapToGrid w:val="0"/>
      <w:spacing w:line="300" w:lineRule="auto"/>
      <w:jc w:val="both"/>
    </w:pPr>
    <w:rPr>
      <w:rFonts w:ascii="標楷體" w:eastAsia="標楷體" w:hAnsi="標楷體"/>
      <w:sz w:val="28"/>
    </w:rPr>
  </w:style>
  <w:style w:type="paragraph" w:styleId="2">
    <w:name w:val="Body Text 2"/>
    <w:basedOn w:val="a"/>
    <w:pPr>
      <w:snapToGrid w:val="0"/>
    </w:pPr>
    <w:rPr>
      <w:rFonts w:eastAsia="標楷體"/>
      <w:sz w:val="32"/>
    </w:rPr>
  </w:style>
  <w:style w:type="paragraph" w:styleId="a6">
    <w:name w:val="Body Text Indent"/>
    <w:basedOn w:val="a"/>
    <w:pPr>
      <w:snapToGrid w:val="0"/>
      <w:spacing w:line="360" w:lineRule="exact"/>
      <w:ind w:leftChars="359" w:left="1354" w:hangingChars="205" w:hanging="492"/>
      <w:jc w:val="both"/>
    </w:pPr>
    <w:rPr>
      <w:rFonts w:ascii="標楷體" w:eastAsia="標楷體" w:hAnsi="標楷體"/>
      <w:color w:val="000000"/>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paragraph" w:styleId="20">
    <w:name w:val="Body Text Indent 2"/>
    <w:basedOn w:val="a"/>
    <w:pPr>
      <w:ind w:leftChars="100" w:left="720" w:hangingChars="200" w:hanging="480"/>
    </w:pPr>
    <w:rPr>
      <w:rFonts w:ascii="標楷體" w:eastAsia="標楷體" w:hAnsi="標楷體"/>
    </w:rPr>
  </w:style>
  <w:style w:type="paragraph" w:styleId="3">
    <w:name w:val="Body Text 3"/>
    <w:basedOn w:val="a"/>
    <w:pPr>
      <w:snapToGrid w:val="0"/>
      <w:spacing w:line="360" w:lineRule="exact"/>
      <w:jc w:val="both"/>
    </w:pPr>
    <w:rPr>
      <w:rFonts w:ascii="標楷體" w:eastAsia="標楷體" w:hAnsi="標楷體"/>
    </w:rPr>
  </w:style>
  <w:style w:type="paragraph" w:styleId="30">
    <w:name w:val="Body Text Indent 3"/>
    <w:basedOn w:val="a"/>
    <w:pPr>
      <w:ind w:left="240" w:hangingChars="100" w:hanging="240"/>
    </w:pPr>
    <w:rPr>
      <w:rFonts w:ascii="標楷體" w:eastAsia="標楷體" w:hAnsi="標楷體"/>
    </w:rPr>
  </w:style>
  <w:style w:type="paragraph" w:styleId="a9">
    <w:name w:val="Balloon Text"/>
    <w:basedOn w:val="a"/>
    <w:semiHidden/>
    <w:rPr>
      <w:rFonts w:ascii="Arial" w:hAnsi="Arial"/>
      <w:sz w:val="18"/>
      <w:szCs w:val="18"/>
    </w:rPr>
  </w:style>
  <w:style w:type="paragraph" w:styleId="aa">
    <w:name w:val="annotation subject"/>
    <w:basedOn w:val="a4"/>
    <w:next w:val="a4"/>
    <w:semiHidden/>
    <w:rPr>
      <w:b/>
      <w:bCs/>
    </w:rPr>
  </w:style>
  <w:style w:type="paragraph" w:styleId="ab">
    <w:name w:val="Salutation"/>
    <w:basedOn w:val="a"/>
    <w:next w:val="a"/>
    <w:rPr>
      <w:rFonts w:ascii="標楷體" w:eastAsia="標楷體" w:hAnsi="標楷體"/>
    </w:rPr>
  </w:style>
  <w:style w:type="paragraph" w:styleId="ac">
    <w:name w:val="Closing"/>
    <w:basedOn w:val="a"/>
    <w:pPr>
      <w:ind w:leftChars="1800" w:left="100"/>
    </w:pPr>
    <w:rPr>
      <w:rFonts w:ascii="標楷體" w:eastAsia="標楷體" w:hAnsi="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f121">
    <w:name w:val="f121"/>
    <w:rsid w:val="00777F1A"/>
    <w:rPr>
      <w:rFonts w:ascii="細明體" w:eastAsia="細明體" w:hAnsi="細明體" w:hint="eastAsia"/>
      <w:spacing w:val="65776"/>
      <w:sz w:val="24"/>
      <w:szCs w:val="24"/>
    </w:rPr>
  </w:style>
  <w:style w:type="character" w:customStyle="1" w:styleId="HTML0">
    <w:name w:val="HTML 預設格式 字元"/>
    <w:link w:val="HTML"/>
    <w:uiPriority w:val="99"/>
    <w:rsid w:val="00D5459C"/>
    <w:rPr>
      <w:rFonts w:ascii="細明體" w:eastAsia="細明體" w:hAnsi="細明體" w:cs="細明體"/>
      <w:sz w:val="24"/>
      <w:szCs w:val="24"/>
    </w:rPr>
  </w:style>
  <w:style w:type="table" w:styleId="ad">
    <w:name w:val="Table Grid"/>
    <w:basedOn w:val="a1"/>
    <w:rsid w:val="002C5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4C1A7E"/>
  </w:style>
</w:styles>
</file>

<file path=word/webSettings.xml><?xml version="1.0" encoding="utf-8"?>
<w:webSettings xmlns:r="http://schemas.openxmlformats.org/officeDocument/2006/relationships" xmlns:w="http://schemas.openxmlformats.org/wordprocessingml/2006/main">
  <w:divs>
    <w:div w:id="54133530">
      <w:bodyDiv w:val="1"/>
      <w:marLeft w:val="0"/>
      <w:marRight w:val="0"/>
      <w:marTop w:val="0"/>
      <w:marBottom w:val="0"/>
      <w:divBdr>
        <w:top w:val="none" w:sz="0" w:space="0" w:color="auto"/>
        <w:left w:val="none" w:sz="0" w:space="0" w:color="auto"/>
        <w:bottom w:val="none" w:sz="0" w:space="0" w:color="auto"/>
        <w:right w:val="none" w:sz="0" w:space="0" w:color="auto"/>
      </w:divBdr>
      <w:divsChild>
        <w:div w:id="676155394">
          <w:marLeft w:val="0"/>
          <w:marRight w:val="0"/>
          <w:marTop w:val="0"/>
          <w:marBottom w:val="0"/>
          <w:divBdr>
            <w:top w:val="none" w:sz="0" w:space="0" w:color="auto"/>
            <w:left w:val="none" w:sz="0" w:space="0" w:color="auto"/>
            <w:bottom w:val="none" w:sz="0" w:space="0" w:color="auto"/>
            <w:right w:val="none" w:sz="0" w:space="0" w:color="auto"/>
          </w:divBdr>
          <w:divsChild>
            <w:div w:id="833186694">
              <w:marLeft w:val="0"/>
              <w:marRight w:val="0"/>
              <w:marTop w:val="0"/>
              <w:marBottom w:val="0"/>
              <w:divBdr>
                <w:top w:val="none" w:sz="0" w:space="0" w:color="auto"/>
                <w:left w:val="none" w:sz="0" w:space="0" w:color="auto"/>
                <w:bottom w:val="none" w:sz="0" w:space="0" w:color="auto"/>
                <w:right w:val="none" w:sz="0" w:space="0" w:color="auto"/>
              </w:divBdr>
              <w:divsChild>
                <w:div w:id="55737624">
                  <w:marLeft w:val="0"/>
                  <w:marRight w:val="0"/>
                  <w:marTop w:val="0"/>
                  <w:marBottom w:val="0"/>
                  <w:divBdr>
                    <w:top w:val="none" w:sz="0" w:space="0" w:color="auto"/>
                    <w:left w:val="none" w:sz="0" w:space="0" w:color="auto"/>
                    <w:bottom w:val="none" w:sz="0" w:space="0" w:color="auto"/>
                    <w:right w:val="none" w:sz="0" w:space="0" w:color="auto"/>
                  </w:divBdr>
                  <w:divsChild>
                    <w:div w:id="20035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741</Words>
  <Characters>4230</Characters>
  <Application>Microsoft Office Word</Application>
  <DocSecurity>0</DocSecurity>
  <Lines>35</Lines>
  <Paragraphs>9</Paragraphs>
  <ScaleCrop>false</ScaleCrop>
  <Company>NONE</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防疫藥品、器材、防護裝備及防疫資源管理辦法</dc:title>
  <dc:subject/>
  <dc:creator>CDCUSER</dc:creator>
  <cp:keywords/>
  <cp:lastModifiedBy>Ndhu</cp:lastModifiedBy>
  <cp:revision>2</cp:revision>
  <cp:lastPrinted>2014-01-08T05:16:00Z</cp:lastPrinted>
  <dcterms:created xsi:type="dcterms:W3CDTF">2014-01-21T03:01:00Z</dcterms:created>
  <dcterms:modified xsi:type="dcterms:W3CDTF">2014-01-21T03:01:00Z</dcterms:modified>
</cp:coreProperties>
</file>