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23" w:rsidRPr="005B3523" w:rsidRDefault="005B3523" w:rsidP="005B3523">
      <w:pPr>
        <w:widowControl/>
        <w:jc w:val="center"/>
        <w:rPr>
          <w:rFonts w:ascii="Times New Roman" w:eastAsia="標楷體" w:hAnsi="Times New Roman" w:cs="新細明體"/>
          <w:b/>
          <w:kern w:val="0"/>
          <w:szCs w:val="24"/>
        </w:rPr>
      </w:pPr>
      <w:r w:rsidRPr="005B3523">
        <w:rPr>
          <w:rFonts w:ascii="Times New Roman" w:eastAsia="標楷體" w:hAnsi="新細明體" w:cs="新細明體"/>
          <w:b/>
          <w:kern w:val="0"/>
          <w:szCs w:val="24"/>
        </w:rPr>
        <w:t>迎送小米</w:t>
      </w:r>
      <w:proofErr w:type="gramStart"/>
      <w:r w:rsidRPr="005B3523">
        <w:rPr>
          <w:rFonts w:ascii="Times New Roman" w:eastAsia="標楷體" w:hAnsi="新細明體" w:cs="新細明體"/>
          <w:b/>
          <w:kern w:val="0"/>
          <w:szCs w:val="24"/>
        </w:rPr>
        <w:t>入倉歡</w:t>
      </w:r>
      <w:proofErr w:type="gramEnd"/>
      <w:r w:rsidRPr="005B3523">
        <w:rPr>
          <w:rFonts w:ascii="Times New Roman" w:eastAsia="標楷體" w:hAnsi="新細明體" w:cs="新細明體"/>
          <w:b/>
          <w:kern w:val="0"/>
          <w:szCs w:val="24"/>
        </w:rPr>
        <w:t>慶新生入學：</w:t>
      </w:r>
      <w:r w:rsidRPr="005B3523">
        <w:rPr>
          <w:rFonts w:ascii="Times New Roman" w:eastAsia="標楷體" w:hAnsi="Times New Roman" w:cs="新細明體"/>
          <w:b/>
          <w:kern w:val="0"/>
          <w:szCs w:val="24"/>
        </w:rPr>
        <w:t>2012</w:t>
      </w:r>
      <w:r w:rsidRPr="005B3523">
        <w:rPr>
          <w:rFonts w:ascii="Times New Roman" w:eastAsia="標楷體" w:hAnsi="新細明體" w:cs="新細明體"/>
          <w:b/>
          <w:kern w:val="0"/>
          <w:szCs w:val="24"/>
        </w:rPr>
        <w:t>東華小米園「小米</w:t>
      </w:r>
      <w:proofErr w:type="gramStart"/>
      <w:r w:rsidRPr="005B3523">
        <w:rPr>
          <w:rFonts w:ascii="Times New Roman" w:eastAsia="標楷體" w:hAnsi="新細明體" w:cs="新細明體"/>
          <w:b/>
          <w:kern w:val="0"/>
          <w:szCs w:val="24"/>
        </w:rPr>
        <w:t>入倉祭</w:t>
      </w:r>
      <w:proofErr w:type="gramEnd"/>
      <w:r w:rsidRPr="005B3523">
        <w:rPr>
          <w:rFonts w:ascii="Times New Roman" w:eastAsia="標楷體" w:hAnsi="新細明體" w:cs="新細明體"/>
          <w:b/>
          <w:kern w:val="0"/>
          <w:szCs w:val="24"/>
        </w:rPr>
        <w:t>暨嬰兒祭」</w:t>
      </w:r>
    </w:p>
    <w:p w:rsidR="005B3523" w:rsidRPr="005B3523" w:rsidRDefault="005B3523" w:rsidP="005B3523">
      <w:pPr>
        <w:widowControl/>
        <w:jc w:val="center"/>
        <w:rPr>
          <w:rFonts w:ascii="Times New Roman" w:eastAsia="標楷體" w:hAnsi="Times New Roman" w:cs="新細明體"/>
          <w:b/>
          <w:kern w:val="0"/>
          <w:szCs w:val="24"/>
        </w:rPr>
      </w:pPr>
    </w:p>
    <w:p w:rsidR="005B3523" w:rsidRPr="005B3523" w:rsidRDefault="005B3523" w:rsidP="005B3523">
      <w:pPr>
        <w:widowControl/>
        <w:rPr>
          <w:rFonts w:ascii="Times New Roman" w:eastAsia="標楷體" w:hAnsi="Times New Roman" w:cs="新細明體"/>
          <w:kern w:val="0"/>
          <w:szCs w:val="24"/>
        </w:rPr>
      </w:pPr>
      <w:bookmarkStart w:id="0" w:name="_GoBack"/>
      <w:bookmarkEnd w:id="0"/>
      <w:r w:rsidRPr="005B3523">
        <w:rPr>
          <w:rFonts w:ascii="Times New Roman" w:eastAsia="標楷體" w:hAnsi="Times New Roman" w:cs="新細明體" w:hint="eastAsia"/>
          <w:kern w:val="0"/>
          <w:szCs w:val="24"/>
        </w:rPr>
        <w:t xml:space="preserve">    </w:t>
      </w:r>
      <w:r w:rsidRPr="005B3523">
        <w:rPr>
          <w:rFonts w:ascii="Times New Roman" w:eastAsia="標楷體" w:hAnsi="新細明體" w:cs="新細明體"/>
          <w:kern w:val="0"/>
          <w:szCs w:val="24"/>
        </w:rPr>
        <w:t>國立東華大學原住民民族學院學生們自發性向土地學習行動，結合師生、部落族人，共同營造的「教室有部落」，按著布農族小米畫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曆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，一路從開墾、播種、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除疏、採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收，進行文化實踐。第一年種植計畫，寒冬將近，小米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即將入倉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，將在</w:t>
      </w:r>
      <w:r w:rsidRPr="005B3523">
        <w:rPr>
          <w:rFonts w:ascii="Times New Roman" w:eastAsia="標楷體" w:hAnsi="Times New Roman" w:cs="新細明體"/>
          <w:kern w:val="0"/>
          <w:szCs w:val="24"/>
        </w:rPr>
        <w:t>2012</w:t>
      </w:r>
      <w:r w:rsidRPr="005B3523">
        <w:rPr>
          <w:rFonts w:ascii="Times New Roman" w:eastAsia="標楷體" w:hAnsi="新細明體" w:cs="新細明體"/>
          <w:kern w:val="0"/>
          <w:szCs w:val="24"/>
        </w:rPr>
        <w:t>年</w:t>
      </w:r>
      <w:r w:rsidRPr="005B3523">
        <w:rPr>
          <w:rFonts w:ascii="Times New Roman" w:eastAsia="標楷體" w:hAnsi="Times New Roman" w:cs="新細明體"/>
          <w:kern w:val="0"/>
          <w:szCs w:val="24"/>
        </w:rPr>
        <w:t>10</w:t>
      </w:r>
      <w:r w:rsidRPr="005B3523">
        <w:rPr>
          <w:rFonts w:ascii="Times New Roman" w:eastAsia="標楷體" w:hAnsi="新細明體" w:cs="新細明體"/>
          <w:kern w:val="0"/>
          <w:szCs w:val="24"/>
        </w:rPr>
        <w:t>月</w:t>
      </w:r>
      <w:r w:rsidRPr="005B3523">
        <w:rPr>
          <w:rFonts w:ascii="Times New Roman" w:eastAsia="標楷體" w:hAnsi="Times New Roman" w:cs="新細明體"/>
          <w:kern w:val="0"/>
          <w:szCs w:val="24"/>
        </w:rPr>
        <w:t>26</w:t>
      </w:r>
      <w:r w:rsidRPr="005B3523">
        <w:rPr>
          <w:rFonts w:ascii="Times New Roman" w:eastAsia="標楷體" w:hAnsi="新細明體" w:cs="新細明體"/>
          <w:kern w:val="0"/>
          <w:szCs w:val="24"/>
        </w:rPr>
        <w:t>日下午四點半起，於東華原住民民族學院</w:t>
      </w:r>
      <w:r w:rsidRPr="005B3523">
        <w:rPr>
          <w:rFonts w:ascii="Times New Roman" w:eastAsia="標楷體" w:hAnsi="Times New Roman" w:cs="新細明體"/>
          <w:kern w:val="0"/>
          <w:szCs w:val="24"/>
        </w:rPr>
        <w:t>1</w:t>
      </w:r>
      <w:r w:rsidRPr="005B3523">
        <w:rPr>
          <w:rFonts w:ascii="Times New Roman" w:eastAsia="標楷體" w:hAnsi="新細明體" w:cs="新細明體"/>
          <w:kern w:val="0"/>
          <w:szCs w:val="24"/>
        </w:rPr>
        <w:t>樓菱形廳廣場，舉辦「小米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入倉祭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暨嬰兒祭」，藉由小米祭儀，親身實踐、文化傳承，共同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墾植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原民土地，新生的希望。</w:t>
      </w:r>
    </w:p>
    <w:p w:rsidR="005B3523" w:rsidRPr="005B3523" w:rsidRDefault="005B3523" w:rsidP="005B3523">
      <w:pPr>
        <w:widowControl/>
        <w:rPr>
          <w:rFonts w:ascii="Times New Roman" w:eastAsia="標楷體" w:hAnsi="Times New Roman" w:cs="新細明體"/>
          <w:kern w:val="0"/>
          <w:szCs w:val="24"/>
        </w:rPr>
      </w:pPr>
    </w:p>
    <w:p w:rsidR="005B3523" w:rsidRPr="005B3523" w:rsidRDefault="005B3523" w:rsidP="005B352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5B3523">
        <w:rPr>
          <w:rFonts w:ascii="Times New Roman" w:eastAsia="標楷體" w:hAnsi="Times New Roman" w:cs="新細明體" w:hint="eastAsia"/>
          <w:kern w:val="0"/>
          <w:szCs w:val="24"/>
        </w:rPr>
        <w:t xml:space="preserve">    </w:t>
      </w:r>
      <w:r w:rsidRPr="005B3523">
        <w:rPr>
          <w:rFonts w:ascii="Times New Roman" w:eastAsia="標楷體" w:hAnsi="新細明體" w:cs="新細明體"/>
          <w:kern w:val="0"/>
          <w:szCs w:val="24"/>
        </w:rPr>
        <w:t>此次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米入倉更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邀請全校師生與有興趣的民眾，共同加入迎送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小米入倉的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行列，透過部落耆老的帶領，傳達多元文化之美。小米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入倉祭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，在布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農族稱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「</w:t>
      </w:r>
      <w:proofErr w:type="spellStart"/>
      <w:r w:rsidRPr="005B3523">
        <w:rPr>
          <w:rFonts w:ascii="Times New Roman" w:eastAsia="標楷體" w:hAnsi="Times New Roman" w:cs="新細明體"/>
          <w:kern w:val="0"/>
          <w:szCs w:val="24"/>
        </w:rPr>
        <w:t>andaza</w:t>
      </w:r>
      <w:proofErr w:type="spellEnd"/>
      <w:r w:rsidRPr="005B3523">
        <w:rPr>
          <w:rFonts w:ascii="Times New Roman" w:eastAsia="標楷體" w:hAnsi="新細明體" w:cs="新細明體"/>
          <w:kern w:val="0"/>
          <w:szCs w:val="24"/>
        </w:rPr>
        <w:t>」，在每年的八至九月將小米曬乾後舉行，先經過祭典儀式後，將一把一把的小米透過族人接力的方式送進穀倉。</w:t>
      </w:r>
    </w:p>
    <w:p w:rsidR="005B3523" w:rsidRPr="005B3523" w:rsidRDefault="005B3523" w:rsidP="005B3523">
      <w:pPr>
        <w:widowControl/>
        <w:rPr>
          <w:rFonts w:ascii="Times New Roman" w:eastAsia="標楷體" w:hAnsi="Times New Roman" w:cs="新細明體"/>
          <w:kern w:val="0"/>
          <w:szCs w:val="24"/>
        </w:rPr>
      </w:pPr>
    </w:p>
    <w:p w:rsidR="005B3523" w:rsidRPr="005B3523" w:rsidRDefault="005B3523" w:rsidP="005B352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5B3523">
        <w:rPr>
          <w:rFonts w:ascii="Times New Roman" w:eastAsia="標楷體" w:hAnsi="Times New Roman" w:cs="新細明體" w:hint="eastAsia"/>
          <w:kern w:val="0"/>
          <w:szCs w:val="24"/>
        </w:rPr>
        <w:t xml:space="preserve">    </w:t>
      </w:r>
      <w:r w:rsidRPr="005B3523">
        <w:rPr>
          <w:rFonts w:ascii="Times New Roman" w:eastAsia="標楷體" w:hAnsi="新細明體" w:cs="新細明體"/>
          <w:kern w:val="0"/>
          <w:szCs w:val="24"/>
        </w:rPr>
        <w:t>東華小米園的農人們，選擇「布農族嬰兒祭文化」結合迎新活動，象徵東華新生的到來。藉由小米倉，我們歡迎新生加入東華大家庭，成為東華人。對大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一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新鮮人來說，他們就像新生兒一樣，來到學校他們需要被呵護、庇祐、祈禱、指導、以及祝福。</w:t>
      </w:r>
    </w:p>
    <w:p w:rsidR="005B3523" w:rsidRPr="005B3523" w:rsidRDefault="005B3523" w:rsidP="005B352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5B3523">
        <w:rPr>
          <w:rFonts w:ascii="Times New Roman" w:eastAsia="標楷體" w:hAnsi="Times New Roman" w:cs="新細明體"/>
          <w:kern w:val="0"/>
          <w:szCs w:val="24"/>
          <w:shd w:val="clear" w:color="auto" w:fill="FFFFFF"/>
        </w:rPr>
        <w:br/>
      </w:r>
      <w:r w:rsidRPr="005B3523">
        <w:rPr>
          <w:rFonts w:ascii="Times New Roman" w:eastAsia="標楷體" w:hAnsi="Times New Roman" w:cs="新細明體" w:hint="eastAsia"/>
          <w:kern w:val="0"/>
          <w:szCs w:val="24"/>
        </w:rPr>
        <w:t xml:space="preserve">    </w:t>
      </w:r>
      <w:r w:rsidRPr="005B3523">
        <w:rPr>
          <w:rFonts w:ascii="Times New Roman" w:eastAsia="標楷體" w:hAnsi="新細明體" w:cs="新細明體"/>
          <w:kern w:val="0"/>
          <w:szCs w:val="24"/>
        </w:rPr>
        <w:t>嬰兒祭，在布農族稱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（</w:t>
      </w:r>
      <w:proofErr w:type="spellStart"/>
      <w:proofErr w:type="gramEnd"/>
      <w:r w:rsidRPr="005B3523">
        <w:rPr>
          <w:rFonts w:ascii="Times New Roman" w:eastAsia="標楷體" w:hAnsi="Times New Roman" w:cs="新細明體"/>
          <w:kern w:val="0"/>
          <w:szCs w:val="24"/>
        </w:rPr>
        <w:t>masihaulos</w:t>
      </w:r>
      <w:proofErr w:type="spellEnd"/>
      <w:r w:rsidRPr="005B3523">
        <w:rPr>
          <w:rFonts w:ascii="Times New Roman" w:eastAsia="標楷體" w:hAnsi="Times New Roman" w:cs="新細明體"/>
          <w:kern w:val="0"/>
          <w:szCs w:val="24"/>
        </w:rPr>
        <w:t> </w:t>
      </w:r>
      <w:r w:rsidRPr="005B3523">
        <w:rPr>
          <w:rFonts w:ascii="Times New Roman" w:eastAsia="標楷體" w:hAnsi="新細明體" w:cs="新細明體"/>
          <w:kern w:val="0"/>
          <w:szCs w:val="24"/>
        </w:rPr>
        <w:t>掛項鍊之意），每年七、八月月圓時舉行，象徵孩子能越長越好之意。東華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小米園則以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「迎新」的方式，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來作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為父母對小孩的期望與保佑，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由卓樂部落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何成忠耆老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以及卓風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國小民族支援教師張小芳共同擔任此小米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入倉祭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暨嬰兒祭的文化指導，推廣族群文化以及豐富的傳統祭儀精神。</w:t>
      </w:r>
    </w:p>
    <w:p w:rsidR="005B3523" w:rsidRPr="005B3523" w:rsidRDefault="005B3523" w:rsidP="005B3523">
      <w:pPr>
        <w:widowControl/>
        <w:rPr>
          <w:rFonts w:ascii="Times New Roman" w:eastAsia="標楷體" w:hAnsi="Times New Roman" w:cs="新細明體"/>
          <w:kern w:val="0"/>
          <w:szCs w:val="24"/>
        </w:rPr>
      </w:pPr>
    </w:p>
    <w:p w:rsidR="005B3523" w:rsidRPr="005B3523" w:rsidRDefault="005B3523" w:rsidP="005B3523">
      <w:pPr>
        <w:rPr>
          <w:rFonts w:ascii="Times New Roman" w:eastAsia="標楷體" w:hAnsi="Times New Roman" w:cs="新細明體"/>
          <w:kern w:val="0"/>
          <w:szCs w:val="24"/>
        </w:rPr>
      </w:pPr>
      <w:r w:rsidRPr="005B3523">
        <w:rPr>
          <w:rFonts w:ascii="Times New Roman" w:eastAsia="標楷體" w:hAnsi="Times New Roman" w:cs="新細明體" w:hint="eastAsia"/>
          <w:kern w:val="0"/>
          <w:szCs w:val="24"/>
        </w:rPr>
        <w:t xml:space="preserve">   </w:t>
      </w:r>
      <w:r w:rsidRPr="005B3523">
        <w:rPr>
          <w:rFonts w:ascii="Times New Roman" w:eastAsia="標楷體" w:hAnsi="新細明體" w:cs="新細明體"/>
          <w:kern w:val="0"/>
          <w:szCs w:val="24"/>
        </w:rPr>
        <w:t>東華小米園為了此次嬰兒祭，並首開</w:t>
      </w:r>
      <w:proofErr w:type="spellStart"/>
      <w:r w:rsidRPr="005B3523">
        <w:rPr>
          <w:rFonts w:ascii="Times New Roman" w:eastAsia="標楷體" w:hAnsi="Times New Roman" w:cs="新細明體"/>
          <w:kern w:val="0"/>
          <w:szCs w:val="24"/>
        </w:rPr>
        <w:t>ngaan</w:t>
      </w:r>
      <w:proofErr w:type="spellEnd"/>
      <w:r w:rsidRPr="005B3523">
        <w:rPr>
          <w:rFonts w:ascii="Times New Roman" w:eastAsia="標楷體" w:hAnsi="Times New Roman" w:cs="新細明體"/>
          <w:kern w:val="0"/>
          <w:szCs w:val="24"/>
        </w:rPr>
        <w:t>(</w:t>
      </w:r>
      <w:r w:rsidRPr="005B3523">
        <w:rPr>
          <w:rFonts w:ascii="Times New Roman" w:eastAsia="標楷體" w:hAnsi="新細明體" w:cs="新細明體"/>
          <w:kern w:val="0"/>
          <w:szCs w:val="24"/>
        </w:rPr>
        <w:t>菖蒲</w:t>
      </w:r>
      <w:r w:rsidRPr="005B3523">
        <w:rPr>
          <w:rFonts w:ascii="Times New Roman" w:eastAsia="標楷體" w:hAnsi="Times New Roman" w:cs="新細明體"/>
          <w:kern w:val="0"/>
          <w:szCs w:val="24"/>
        </w:rPr>
        <w:t>)</w:t>
      </w:r>
      <w:r w:rsidRPr="005B3523">
        <w:rPr>
          <w:rFonts w:ascii="Times New Roman" w:eastAsia="標楷體" w:hAnsi="新細明體" w:cs="新細明體"/>
          <w:kern w:val="0"/>
          <w:szCs w:val="24"/>
        </w:rPr>
        <w:t>項鍊手工製作班，親自到部落採集菖蒲，活動當天，學生們親手製成的民族項鍊，將由耆老為新生佩戴，並給予最深切的祝福！</w:t>
      </w:r>
      <w:proofErr w:type="spellStart"/>
      <w:r w:rsidRPr="005B3523">
        <w:rPr>
          <w:rFonts w:ascii="Times New Roman" w:eastAsia="標楷體" w:hAnsi="Times New Roman" w:cs="新細明體"/>
          <w:kern w:val="0"/>
          <w:szCs w:val="24"/>
        </w:rPr>
        <w:t>ngaan</w:t>
      </w:r>
      <w:proofErr w:type="spellEnd"/>
      <w:r w:rsidRPr="005B3523">
        <w:rPr>
          <w:rFonts w:ascii="Times New Roman" w:eastAsia="標楷體" w:hAnsi="Times New Roman" w:cs="新細明體"/>
          <w:kern w:val="0"/>
          <w:szCs w:val="24"/>
        </w:rPr>
        <w:t>(</w:t>
      </w:r>
      <w:r w:rsidRPr="005B3523">
        <w:rPr>
          <w:rFonts w:ascii="Times New Roman" w:eastAsia="標楷體" w:hAnsi="新細明體" w:cs="新細明體"/>
          <w:kern w:val="0"/>
          <w:szCs w:val="24"/>
        </w:rPr>
        <w:t>石菖蒲</w:t>
      </w:r>
      <w:r w:rsidRPr="005B3523">
        <w:rPr>
          <w:rFonts w:ascii="Times New Roman" w:eastAsia="標楷體" w:hAnsi="Times New Roman" w:cs="新細明體"/>
          <w:kern w:val="0"/>
          <w:szCs w:val="24"/>
        </w:rPr>
        <w:t>)</w:t>
      </w:r>
      <w:r w:rsidRPr="005B3523">
        <w:rPr>
          <w:rFonts w:ascii="Times New Roman" w:eastAsia="標楷體" w:hAnsi="新細明體" w:cs="新細明體"/>
          <w:kern w:val="0"/>
          <w:szCs w:val="24"/>
        </w:rPr>
        <w:t>是一種具有特殊香味的水生植物，在布農族又是人的名字的統稱，也是嬰兒的保護神，將它配戴在身上，可以讓不好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的靈遠去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，東華小米園轉化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祈福避惡的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概念，希望為新生及小米園正式農人佩戴，讓未來的大學生活可以平安順利</w:t>
      </w:r>
      <w:r w:rsidRPr="005B3523">
        <w:rPr>
          <w:rFonts w:ascii="Times New Roman" w:eastAsia="標楷體" w:hAnsi="Times New Roman" w:cs="新細明體"/>
          <w:kern w:val="0"/>
          <w:szCs w:val="24"/>
        </w:rPr>
        <w:t>!</w:t>
      </w:r>
      <w:r w:rsidRPr="005B3523">
        <w:rPr>
          <w:rFonts w:ascii="Times New Roman" w:eastAsia="標楷體" w:hAnsi="Times New Roman" w:cs="新細明體"/>
          <w:kern w:val="0"/>
          <w:szCs w:val="24"/>
        </w:rPr>
        <w:br/>
      </w:r>
      <w:r w:rsidRPr="005B3523">
        <w:rPr>
          <w:rFonts w:ascii="Times New Roman" w:eastAsia="標楷體" w:hAnsi="Times New Roman" w:cs="新細明體"/>
          <w:kern w:val="0"/>
          <w:szCs w:val="24"/>
        </w:rPr>
        <w:br/>
      </w:r>
      <w:r w:rsidRPr="005B3523">
        <w:rPr>
          <w:rFonts w:ascii="Times New Roman" w:eastAsia="標楷體" w:hAnsi="Times New Roman" w:cs="新細明體" w:hint="eastAsia"/>
          <w:kern w:val="0"/>
          <w:szCs w:val="24"/>
        </w:rPr>
        <w:t xml:space="preserve">    </w:t>
      </w:r>
      <w:r w:rsidRPr="005B3523">
        <w:rPr>
          <w:rFonts w:ascii="Times New Roman" w:eastAsia="標楷體" w:hAnsi="新細明體" w:cs="新細明體"/>
          <w:kern w:val="0"/>
          <w:szCs w:val="24"/>
        </w:rPr>
        <w:t>東華小米園為了此次嬰兒祭，並首開</w:t>
      </w:r>
      <w:proofErr w:type="spellStart"/>
      <w:r w:rsidRPr="005B3523">
        <w:rPr>
          <w:rFonts w:ascii="Times New Roman" w:eastAsia="標楷體" w:hAnsi="Times New Roman" w:cs="新細明體"/>
          <w:kern w:val="0"/>
          <w:szCs w:val="24"/>
        </w:rPr>
        <w:t>ngaan</w:t>
      </w:r>
      <w:proofErr w:type="spellEnd"/>
      <w:r w:rsidRPr="005B3523">
        <w:rPr>
          <w:rFonts w:ascii="Times New Roman" w:eastAsia="標楷體" w:hAnsi="Times New Roman" w:cs="新細明體"/>
          <w:kern w:val="0"/>
          <w:szCs w:val="24"/>
        </w:rPr>
        <w:t>(</w:t>
      </w:r>
      <w:r w:rsidRPr="005B3523">
        <w:rPr>
          <w:rFonts w:ascii="Times New Roman" w:eastAsia="標楷體" w:hAnsi="新細明體" w:cs="新細明體"/>
          <w:kern w:val="0"/>
          <w:szCs w:val="24"/>
        </w:rPr>
        <w:t>菖蒲</w:t>
      </w:r>
      <w:r w:rsidRPr="005B3523">
        <w:rPr>
          <w:rFonts w:ascii="Times New Roman" w:eastAsia="標楷體" w:hAnsi="Times New Roman" w:cs="新細明體"/>
          <w:kern w:val="0"/>
          <w:szCs w:val="24"/>
        </w:rPr>
        <w:t>)</w:t>
      </w:r>
      <w:r w:rsidRPr="005B3523">
        <w:rPr>
          <w:rFonts w:ascii="Times New Roman" w:eastAsia="標楷體" w:hAnsi="新細明體" w:cs="新細明體"/>
          <w:kern w:val="0"/>
          <w:szCs w:val="24"/>
        </w:rPr>
        <w:t>項鍊手工製作班，親自到部落採集菖蒲，活動當天，學生們親手製成的民族項鍊，將由耆老為新生佩戴，並給予最深切的祝福！</w:t>
      </w:r>
      <w:proofErr w:type="spellStart"/>
      <w:r w:rsidRPr="005B3523">
        <w:rPr>
          <w:rFonts w:ascii="Times New Roman" w:eastAsia="標楷體" w:hAnsi="Times New Roman" w:cs="新細明體"/>
          <w:kern w:val="0"/>
          <w:szCs w:val="24"/>
        </w:rPr>
        <w:t>ngaan</w:t>
      </w:r>
      <w:proofErr w:type="spellEnd"/>
      <w:r w:rsidRPr="005B3523">
        <w:rPr>
          <w:rFonts w:ascii="Times New Roman" w:eastAsia="標楷體" w:hAnsi="Times New Roman" w:cs="新細明體"/>
          <w:kern w:val="0"/>
          <w:szCs w:val="24"/>
        </w:rPr>
        <w:t>(</w:t>
      </w:r>
      <w:r w:rsidRPr="005B3523">
        <w:rPr>
          <w:rFonts w:ascii="Times New Roman" w:eastAsia="標楷體" w:hAnsi="新細明體" w:cs="新細明體"/>
          <w:kern w:val="0"/>
          <w:szCs w:val="24"/>
        </w:rPr>
        <w:t>石菖蒲</w:t>
      </w:r>
      <w:r w:rsidRPr="005B3523">
        <w:rPr>
          <w:rFonts w:ascii="Times New Roman" w:eastAsia="標楷體" w:hAnsi="Times New Roman" w:cs="新細明體"/>
          <w:kern w:val="0"/>
          <w:szCs w:val="24"/>
        </w:rPr>
        <w:t>)</w:t>
      </w:r>
      <w:r w:rsidRPr="005B3523">
        <w:rPr>
          <w:rFonts w:ascii="Times New Roman" w:eastAsia="標楷體" w:hAnsi="新細明體" w:cs="新細明體"/>
          <w:kern w:val="0"/>
          <w:szCs w:val="24"/>
        </w:rPr>
        <w:t>是一種具有特殊香味的水生植物，在布農族又是人的名字的統稱，也是嬰兒的保護神，將它配戴在身上，可以讓不好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的靈遠去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，東華小米園轉化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祈福避惡的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概念，希望為新生及小米園正式農人佩戴，讓未來的大學生活可以平安順利</w:t>
      </w:r>
      <w:r w:rsidRPr="005B3523">
        <w:rPr>
          <w:rFonts w:ascii="Times New Roman" w:eastAsia="標楷體" w:hAnsi="Times New Roman" w:cs="新細明體"/>
          <w:kern w:val="0"/>
          <w:szCs w:val="24"/>
        </w:rPr>
        <w:t>!</w:t>
      </w:r>
      <w:r w:rsidRPr="005B3523">
        <w:rPr>
          <w:rFonts w:ascii="Times New Roman" w:eastAsia="標楷體" w:hAnsi="Times New Roman" w:cs="新細明體"/>
          <w:kern w:val="0"/>
          <w:szCs w:val="24"/>
        </w:rPr>
        <w:br/>
      </w:r>
      <w:r w:rsidRPr="005B3523">
        <w:rPr>
          <w:rFonts w:ascii="Times New Roman" w:eastAsia="標楷體" w:hAnsi="Times New Roman" w:cs="新細明體"/>
          <w:kern w:val="0"/>
          <w:szCs w:val="24"/>
        </w:rPr>
        <w:br/>
      </w:r>
      <w:r w:rsidRPr="005B3523">
        <w:rPr>
          <w:rFonts w:ascii="Times New Roman" w:eastAsia="標楷體" w:hAnsi="Times New Roman" w:cs="新細明體" w:hint="eastAsia"/>
          <w:kern w:val="0"/>
          <w:szCs w:val="24"/>
        </w:rPr>
        <w:lastRenderedPageBreak/>
        <w:t xml:space="preserve">    </w:t>
      </w:r>
      <w:r w:rsidRPr="005B3523">
        <w:rPr>
          <w:rFonts w:ascii="Times New Roman" w:eastAsia="標楷體" w:hAnsi="新細明體" w:cs="新細明體"/>
          <w:kern w:val="0"/>
          <w:szCs w:val="24"/>
        </w:rPr>
        <w:t>本次的活動內容除了小米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入倉暨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嬰兒</w:t>
      </w:r>
      <w:proofErr w:type="gramStart"/>
      <w:r w:rsidRPr="005B3523">
        <w:rPr>
          <w:rFonts w:ascii="Times New Roman" w:eastAsia="標楷體" w:hAnsi="新細明體" w:cs="新細明體"/>
          <w:kern w:val="0"/>
          <w:szCs w:val="24"/>
        </w:rPr>
        <w:t>祭文化祭儀</w:t>
      </w:r>
      <w:proofErr w:type="gramEnd"/>
      <w:r w:rsidRPr="005B3523">
        <w:rPr>
          <w:rFonts w:ascii="Times New Roman" w:eastAsia="標楷體" w:hAnsi="新細明體" w:cs="新細明體"/>
          <w:kern w:val="0"/>
          <w:szCs w:val="24"/>
        </w:rPr>
        <w:t>之外，現場有販售小米園的文化商品，並提供小米酒、烤豬肉的分享及一連串原住民藝文團體的演出，</w:t>
      </w:r>
      <w:r w:rsidR="00180366">
        <w:rPr>
          <w:rFonts w:ascii="Times New Roman" w:eastAsia="標楷體" w:hAnsi="新細明體" w:cs="新細明體" w:hint="eastAsia"/>
          <w:kern w:val="0"/>
          <w:szCs w:val="24"/>
        </w:rPr>
        <w:t>歡迎對於原住民文化有興趣的朋友們共同參與和我們一起彎腰</w:t>
      </w:r>
      <w:r w:rsidR="00180366" w:rsidRPr="00180366">
        <w:rPr>
          <w:rFonts w:ascii="Times New Roman" w:eastAsia="標楷體" w:hAnsi="新細明體" w:cs="新細明體" w:hint="eastAsia"/>
          <w:kern w:val="0"/>
          <w:szCs w:val="24"/>
        </w:rPr>
        <w:t>學習。</w:t>
      </w:r>
    </w:p>
    <w:p w:rsidR="005B3523" w:rsidRPr="005B3523" w:rsidRDefault="005B3523" w:rsidP="005B3523">
      <w:pPr>
        <w:widowControl/>
        <w:rPr>
          <w:rFonts w:ascii="Times New Roman" w:eastAsia="標楷體" w:hAnsi="Times New Roman" w:cs="新細明體"/>
          <w:kern w:val="0"/>
          <w:szCs w:val="24"/>
        </w:rPr>
      </w:pPr>
    </w:p>
    <w:p w:rsidR="005B3523" w:rsidRPr="005B3523" w:rsidRDefault="005B3523" w:rsidP="005B352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5B3523">
        <w:rPr>
          <w:rFonts w:ascii="Times New Roman" w:eastAsia="標楷體" w:hAnsi="新細明體" w:cs="新細明體" w:hint="eastAsia"/>
          <w:kern w:val="0"/>
          <w:szCs w:val="24"/>
        </w:rPr>
        <w:t>聯絡人：族群關係與文化學系碩士班</w:t>
      </w:r>
      <w:r w:rsidRPr="005B3523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proofErr w:type="gramStart"/>
      <w:r w:rsidRPr="005B3523">
        <w:rPr>
          <w:rFonts w:ascii="Times New Roman" w:eastAsia="標楷體" w:hAnsi="新細明體" w:cs="新細明體" w:hint="eastAsia"/>
          <w:kern w:val="0"/>
          <w:szCs w:val="24"/>
        </w:rPr>
        <w:t>胡克緯</w:t>
      </w:r>
      <w:proofErr w:type="gramEnd"/>
      <w:r w:rsidRPr="005B3523">
        <w:rPr>
          <w:rFonts w:ascii="Times New Roman" w:eastAsia="標楷體" w:hAnsi="Times New Roman" w:cs="新細明體" w:hint="eastAsia"/>
          <w:kern w:val="0"/>
          <w:szCs w:val="24"/>
        </w:rPr>
        <w:t xml:space="preserve"> 0978275167</w:t>
      </w:r>
    </w:p>
    <w:p w:rsidR="005B3523" w:rsidRPr="005B3523" w:rsidRDefault="005B3523" w:rsidP="005B352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5B3523">
        <w:rPr>
          <w:rFonts w:ascii="Times New Roman" w:eastAsia="標楷體" w:hAnsi="Times New Roman" w:cs="新細明體" w:hint="eastAsia"/>
          <w:kern w:val="0"/>
          <w:szCs w:val="24"/>
        </w:rPr>
        <w:t xml:space="preserve">        </w:t>
      </w:r>
      <w:r w:rsidRPr="005B3523">
        <w:rPr>
          <w:rFonts w:ascii="Times New Roman" w:eastAsia="標楷體" w:hAnsi="新細明體" w:cs="新細明體" w:hint="eastAsia"/>
          <w:kern w:val="0"/>
          <w:szCs w:val="24"/>
        </w:rPr>
        <w:t>族群關係與文化學系大二</w:t>
      </w:r>
      <w:r w:rsidRPr="005B3523">
        <w:rPr>
          <w:rFonts w:ascii="Times New Roman" w:eastAsia="標楷體" w:hAnsi="Times New Roman" w:cs="新細明體" w:hint="eastAsia"/>
          <w:kern w:val="0"/>
          <w:szCs w:val="24"/>
        </w:rPr>
        <w:t xml:space="preserve">   </w:t>
      </w:r>
      <w:r w:rsidRPr="005B3523">
        <w:rPr>
          <w:rFonts w:ascii="Times New Roman" w:eastAsia="標楷體" w:hAnsi="新細明體" w:cs="新細明體" w:hint="eastAsia"/>
          <w:kern w:val="0"/>
          <w:szCs w:val="24"/>
        </w:rPr>
        <w:t>林昱丞</w:t>
      </w:r>
      <w:r w:rsidRPr="005B3523">
        <w:rPr>
          <w:rFonts w:ascii="Times New Roman" w:eastAsia="標楷體" w:hAnsi="Times New Roman" w:cs="新細明體" w:hint="eastAsia"/>
          <w:kern w:val="0"/>
          <w:szCs w:val="24"/>
        </w:rPr>
        <w:t xml:space="preserve"> 0930009330</w:t>
      </w:r>
    </w:p>
    <w:p w:rsidR="005B3523" w:rsidRPr="005B3523" w:rsidRDefault="005B3523" w:rsidP="005B3523">
      <w:pPr>
        <w:widowControl/>
        <w:rPr>
          <w:rFonts w:ascii="Times New Roman" w:eastAsia="標楷體" w:hAnsi="Times New Roman" w:cs="新細明體"/>
          <w:kern w:val="0"/>
          <w:szCs w:val="24"/>
        </w:rPr>
      </w:pPr>
    </w:p>
    <w:p w:rsidR="005B3523" w:rsidRPr="005B3523" w:rsidRDefault="005B3523" w:rsidP="005B352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5B3523">
        <w:rPr>
          <w:rFonts w:ascii="Times New Roman" w:eastAsia="標楷體" w:hAnsi="新細明體" w:cs="新細明體" w:hint="eastAsia"/>
          <w:kern w:val="0"/>
          <w:szCs w:val="24"/>
        </w:rPr>
        <w:t>時間：</w:t>
      </w:r>
      <w:r w:rsidRPr="005B3523">
        <w:rPr>
          <w:rFonts w:ascii="Times New Roman" w:eastAsia="標楷體" w:hAnsi="Times New Roman" w:cs="新細明體" w:hint="eastAsia"/>
          <w:kern w:val="0"/>
          <w:szCs w:val="24"/>
        </w:rPr>
        <w:t>2012</w:t>
      </w:r>
      <w:r w:rsidRPr="005B3523">
        <w:rPr>
          <w:rFonts w:ascii="Times New Roman" w:eastAsia="標楷體" w:hAnsi="新細明體" w:cs="新細明體" w:hint="eastAsia"/>
          <w:kern w:val="0"/>
          <w:szCs w:val="24"/>
        </w:rPr>
        <w:t>年</w:t>
      </w:r>
      <w:r w:rsidRPr="005B3523">
        <w:rPr>
          <w:rFonts w:ascii="Times New Roman" w:eastAsia="標楷體" w:hAnsi="Times New Roman" w:cs="新細明體" w:hint="eastAsia"/>
          <w:kern w:val="0"/>
          <w:szCs w:val="24"/>
        </w:rPr>
        <w:t>10</w:t>
      </w:r>
      <w:r w:rsidRPr="005B3523">
        <w:rPr>
          <w:rFonts w:ascii="Times New Roman" w:eastAsia="標楷體" w:hAnsi="新細明體" w:cs="新細明體" w:hint="eastAsia"/>
          <w:kern w:val="0"/>
          <w:szCs w:val="24"/>
        </w:rPr>
        <w:t>月</w:t>
      </w:r>
      <w:r w:rsidRPr="005B3523">
        <w:rPr>
          <w:rFonts w:ascii="Times New Roman" w:eastAsia="標楷體" w:hAnsi="Times New Roman" w:cs="新細明體" w:hint="eastAsia"/>
          <w:kern w:val="0"/>
          <w:szCs w:val="24"/>
        </w:rPr>
        <w:t>26</w:t>
      </w:r>
      <w:r w:rsidRPr="005B3523">
        <w:rPr>
          <w:rFonts w:ascii="Times New Roman" w:eastAsia="標楷體" w:hAnsi="新細明體" w:cs="新細明體" w:hint="eastAsia"/>
          <w:kern w:val="0"/>
          <w:szCs w:val="24"/>
        </w:rPr>
        <w:t>日下午</w:t>
      </w:r>
      <w:r w:rsidRPr="005B3523">
        <w:rPr>
          <w:rFonts w:ascii="Times New Roman" w:eastAsia="標楷體" w:hAnsi="Times New Roman" w:cs="新細明體" w:hint="eastAsia"/>
          <w:kern w:val="0"/>
          <w:szCs w:val="24"/>
        </w:rPr>
        <w:t>4</w:t>
      </w:r>
      <w:r w:rsidRPr="005B3523">
        <w:rPr>
          <w:rFonts w:ascii="Times New Roman" w:eastAsia="標楷體" w:hAnsi="新細明體" w:cs="新細明體" w:hint="eastAsia"/>
          <w:kern w:val="0"/>
          <w:szCs w:val="24"/>
        </w:rPr>
        <w:t>點半到晚上</w:t>
      </w:r>
      <w:r w:rsidRPr="005B3523">
        <w:rPr>
          <w:rFonts w:ascii="Times New Roman" w:eastAsia="標楷體" w:hAnsi="Times New Roman" w:cs="新細明體" w:hint="eastAsia"/>
          <w:kern w:val="0"/>
          <w:szCs w:val="24"/>
        </w:rPr>
        <w:t>8</w:t>
      </w:r>
      <w:r w:rsidRPr="005B3523">
        <w:rPr>
          <w:rFonts w:ascii="Times New Roman" w:eastAsia="標楷體" w:hAnsi="新細明體" w:cs="新細明體" w:hint="eastAsia"/>
          <w:kern w:val="0"/>
          <w:szCs w:val="24"/>
        </w:rPr>
        <w:t>點</w:t>
      </w:r>
    </w:p>
    <w:p w:rsidR="005B3523" w:rsidRPr="005B3523" w:rsidRDefault="005B3523" w:rsidP="005B3523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5B3523">
        <w:rPr>
          <w:rFonts w:ascii="Times New Roman" w:eastAsia="標楷體" w:hAnsi="新細明體" w:cs="新細明體" w:hint="eastAsia"/>
          <w:kern w:val="0"/>
          <w:szCs w:val="24"/>
        </w:rPr>
        <w:t>地點：國立東華大學原住民民族學院</w:t>
      </w:r>
      <w:r w:rsidRPr="005B3523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Pr="005B3523">
        <w:rPr>
          <w:rFonts w:ascii="Times New Roman" w:eastAsia="標楷體" w:hAnsi="新細明體" w:cs="新細明體" w:hint="eastAsia"/>
          <w:kern w:val="0"/>
          <w:szCs w:val="24"/>
        </w:rPr>
        <w:t>樓菱形廳廣場</w:t>
      </w:r>
    </w:p>
    <w:tbl>
      <w:tblPr>
        <w:tblStyle w:val="-6"/>
        <w:tblW w:w="0" w:type="auto"/>
        <w:tblLook w:val="04A0"/>
      </w:tblPr>
      <w:tblGrid>
        <w:gridCol w:w="2787"/>
        <w:gridCol w:w="2787"/>
        <w:gridCol w:w="2788"/>
      </w:tblGrid>
      <w:tr w:rsidR="005B3523" w:rsidRPr="005B3523" w:rsidTr="005B3523">
        <w:trPr>
          <w:cnfStyle w:val="100000000000"/>
          <w:hidden/>
        </w:trPr>
        <w:tc>
          <w:tcPr>
            <w:cnfStyle w:val="001000000000"/>
            <w:tcW w:w="2787" w:type="dxa"/>
          </w:tcPr>
          <w:p w:rsidR="005B3523" w:rsidRPr="005B3523" w:rsidRDefault="005B3523" w:rsidP="005B3523">
            <w:pPr>
              <w:widowControl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時間</w:t>
            </w:r>
          </w:p>
        </w:tc>
        <w:tc>
          <w:tcPr>
            <w:tcW w:w="2787" w:type="dxa"/>
          </w:tcPr>
          <w:p w:rsidR="005B3523" w:rsidRPr="005B3523" w:rsidRDefault="005B3523" w:rsidP="005B3523">
            <w:pPr>
              <w:widowControl/>
              <w:cnfStyle w:val="1000000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主題</w:t>
            </w:r>
          </w:p>
        </w:tc>
        <w:tc>
          <w:tcPr>
            <w:tcW w:w="2788" w:type="dxa"/>
          </w:tcPr>
          <w:p w:rsidR="005B3523" w:rsidRPr="005B3523" w:rsidRDefault="005B3523" w:rsidP="005B3523">
            <w:pPr>
              <w:widowControl/>
              <w:cnfStyle w:val="1000000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內容</w:t>
            </w:r>
          </w:p>
        </w:tc>
      </w:tr>
      <w:tr w:rsidR="005B3523" w:rsidRPr="005B3523" w:rsidTr="005B3523">
        <w:trPr>
          <w:cnfStyle w:val="000000100000"/>
          <w:hidden/>
        </w:trPr>
        <w:tc>
          <w:tcPr>
            <w:cnfStyle w:val="001000000000"/>
            <w:tcW w:w="2787" w:type="dxa"/>
          </w:tcPr>
          <w:p w:rsidR="005B3523" w:rsidRPr="005B3523" w:rsidRDefault="005B3523" w:rsidP="005B3523">
            <w:pPr>
              <w:widowControl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Times New Roman" w:cs="新細明體" w:hint="eastAsia"/>
                <w:vanish/>
                <w:kern w:val="0"/>
                <w:szCs w:val="24"/>
              </w:rPr>
              <w:t>1600-1630</w:t>
            </w:r>
          </w:p>
        </w:tc>
        <w:tc>
          <w:tcPr>
            <w:tcW w:w="2787" w:type="dxa"/>
          </w:tcPr>
          <w:p w:rsidR="005B3523" w:rsidRPr="005B3523" w:rsidRDefault="005B3523" w:rsidP="005B3523">
            <w:pPr>
              <w:widowControl/>
              <w:cnfStyle w:val="0000001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前置作業</w:t>
            </w:r>
          </w:p>
        </w:tc>
        <w:tc>
          <w:tcPr>
            <w:tcW w:w="2788" w:type="dxa"/>
          </w:tcPr>
          <w:p w:rsidR="005B3523" w:rsidRPr="005B3523" w:rsidRDefault="005B3523" w:rsidP="005B3523">
            <w:pPr>
              <w:widowControl/>
              <w:cnfStyle w:val="0000001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</w:p>
        </w:tc>
      </w:tr>
      <w:tr w:rsidR="005B3523" w:rsidRPr="005B3523" w:rsidTr="005B3523">
        <w:trPr>
          <w:hidden/>
        </w:trPr>
        <w:tc>
          <w:tcPr>
            <w:cnfStyle w:val="001000000000"/>
            <w:tcW w:w="2787" w:type="dxa"/>
          </w:tcPr>
          <w:p w:rsidR="005B3523" w:rsidRPr="005B3523" w:rsidRDefault="005B3523" w:rsidP="005B3523">
            <w:pPr>
              <w:widowControl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Times New Roman" w:cs="新細明體" w:hint="eastAsia"/>
                <w:vanish/>
                <w:kern w:val="0"/>
                <w:szCs w:val="24"/>
              </w:rPr>
              <w:t>1630-1700</w:t>
            </w:r>
          </w:p>
        </w:tc>
        <w:tc>
          <w:tcPr>
            <w:tcW w:w="2787" w:type="dxa"/>
          </w:tcPr>
          <w:p w:rsidR="005B3523" w:rsidRPr="005B3523" w:rsidRDefault="005B3523" w:rsidP="005B3523">
            <w:pPr>
              <w:widowControl/>
              <w:cnfStyle w:val="0000000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proofErr w:type="gramStart"/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小米入倉現場</w:t>
            </w:r>
            <w:proofErr w:type="gramEnd"/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排隊</w:t>
            </w:r>
          </w:p>
        </w:tc>
        <w:tc>
          <w:tcPr>
            <w:tcW w:w="2788" w:type="dxa"/>
          </w:tcPr>
          <w:p w:rsidR="005B3523" w:rsidRPr="005B3523" w:rsidRDefault="005B3523" w:rsidP="005B3523">
            <w:pPr>
              <w:pStyle w:val="a9"/>
              <w:widowControl/>
              <w:numPr>
                <w:ilvl w:val="0"/>
                <w:numId w:val="3"/>
              </w:numPr>
              <w:ind w:leftChars="0"/>
              <w:cnfStyle w:val="0000000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現場講解文化知識</w:t>
            </w:r>
          </w:p>
          <w:p w:rsidR="005B3523" w:rsidRPr="005B3523" w:rsidRDefault="005B3523" w:rsidP="005B3523">
            <w:pPr>
              <w:pStyle w:val="a9"/>
              <w:widowControl/>
              <w:numPr>
                <w:ilvl w:val="0"/>
                <w:numId w:val="3"/>
              </w:numPr>
              <w:ind w:leftChars="0"/>
              <w:cnfStyle w:val="0000000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發送號碼牌</w:t>
            </w:r>
          </w:p>
        </w:tc>
      </w:tr>
      <w:tr w:rsidR="005B3523" w:rsidRPr="005B3523" w:rsidTr="005B3523">
        <w:trPr>
          <w:cnfStyle w:val="000000100000"/>
          <w:hidden/>
        </w:trPr>
        <w:tc>
          <w:tcPr>
            <w:cnfStyle w:val="001000000000"/>
            <w:tcW w:w="2787" w:type="dxa"/>
          </w:tcPr>
          <w:p w:rsidR="005B3523" w:rsidRPr="005B3523" w:rsidRDefault="005B3523" w:rsidP="005B3523">
            <w:pPr>
              <w:widowControl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Times New Roman" w:cs="新細明體" w:hint="eastAsia"/>
                <w:vanish/>
                <w:kern w:val="0"/>
                <w:szCs w:val="24"/>
              </w:rPr>
              <w:t>1700-1730</w:t>
            </w:r>
          </w:p>
        </w:tc>
        <w:tc>
          <w:tcPr>
            <w:tcW w:w="2787" w:type="dxa"/>
          </w:tcPr>
          <w:p w:rsidR="005B3523" w:rsidRPr="005B3523" w:rsidRDefault="005B3523" w:rsidP="005B3523">
            <w:pPr>
              <w:widowControl/>
              <w:cnfStyle w:val="0000001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proofErr w:type="gramStart"/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小米入倉儀式</w:t>
            </w:r>
            <w:proofErr w:type="gramEnd"/>
          </w:p>
        </w:tc>
        <w:tc>
          <w:tcPr>
            <w:tcW w:w="2788" w:type="dxa"/>
          </w:tcPr>
          <w:p w:rsidR="005B3523" w:rsidRPr="005B3523" w:rsidRDefault="005B3523" w:rsidP="005B3523">
            <w:pPr>
              <w:widowControl/>
              <w:cnfStyle w:val="0000001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</w:p>
        </w:tc>
      </w:tr>
      <w:tr w:rsidR="005B3523" w:rsidRPr="005B3523" w:rsidTr="005B3523">
        <w:trPr>
          <w:hidden/>
        </w:trPr>
        <w:tc>
          <w:tcPr>
            <w:cnfStyle w:val="001000000000"/>
            <w:tcW w:w="2787" w:type="dxa"/>
          </w:tcPr>
          <w:p w:rsidR="005B3523" w:rsidRPr="005B3523" w:rsidRDefault="005B3523" w:rsidP="005B3523">
            <w:pPr>
              <w:widowControl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Times New Roman" w:cs="新細明體" w:hint="eastAsia"/>
                <w:vanish/>
                <w:kern w:val="0"/>
                <w:szCs w:val="24"/>
              </w:rPr>
              <w:t>1730-1800</w:t>
            </w:r>
          </w:p>
        </w:tc>
        <w:tc>
          <w:tcPr>
            <w:tcW w:w="2787" w:type="dxa"/>
          </w:tcPr>
          <w:p w:rsidR="005B3523" w:rsidRPr="005B3523" w:rsidRDefault="005B3523" w:rsidP="005B3523">
            <w:pPr>
              <w:widowControl/>
              <w:cnfStyle w:val="0000000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用餐</w:t>
            </w:r>
          </w:p>
        </w:tc>
        <w:tc>
          <w:tcPr>
            <w:tcW w:w="2788" w:type="dxa"/>
          </w:tcPr>
          <w:p w:rsidR="005B3523" w:rsidRPr="005B3523" w:rsidRDefault="005B3523" w:rsidP="005B3523">
            <w:pPr>
              <w:widowControl/>
              <w:cnfStyle w:val="0000000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</w:p>
        </w:tc>
      </w:tr>
      <w:tr w:rsidR="005B3523" w:rsidRPr="005B3523" w:rsidTr="005B3523">
        <w:trPr>
          <w:cnfStyle w:val="000000100000"/>
          <w:hidden/>
        </w:trPr>
        <w:tc>
          <w:tcPr>
            <w:cnfStyle w:val="001000000000"/>
            <w:tcW w:w="2787" w:type="dxa"/>
          </w:tcPr>
          <w:p w:rsidR="005B3523" w:rsidRPr="005B3523" w:rsidRDefault="005B3523" w:rsidP="005B3523">
            <w:pPr>
              <w:widowControl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Times New Roman" w:cs="新細明體" w:hint="eastAsia"/>
                <w:vanish/>
                <w:kern w:val="0"/>
                <w:szCs w:val="24"/>
              </w:rPr>
              <w:t>1800-1900</w:t>
            </w:r>
          </w:p>
        </w:tc>
        <w:tc>
          <w:tcPr>
            <w:tcW w:w="2787" w:type="dxa"/>
          </w:tcPr>
          <w:p w:rsidR="005B3523" w:rsidRPr="005B3523" w:rsidRDefault="005B3523" w:rsidP="005B3523">
            <w:pPr>
              <w:widowControl/>
              <w:cnfStyle w:val="0000001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嬰兒祭</w:t>
            </w:r>
          </w:p>
        </w:tc>
        <w:tc>
          <w:tcPr>
            <w:tcW w:w="2788" w:type="dxa"/>
          </w:tcPr>
          <w:p w:rsidR="005B3523" w:rsidRPr="005B3523" w:rsidRDefault="005B3523" w:rsidP="005B3523">
            <w:pPr>
              <w:pStyle w:val="a9"/>
              <w:widowControl/>
              <w:numPr>
                <w:ilvl w:val="0"/>
                <w:numId w:val="4"/>
              </w:numPr>
              <w:ind w:leftChars="0"/>
              <w:cnfStyle w:val="0000001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耆老儀式</w:t>
            </w:r>
          </w:p>
          <w:p w:rsidR="005B3523" w:rsidRPr="005B3523" w:rsidRDefault="005B3523" w:rsidP="005B3523">
            <w:pPr>
              <w:pStyle w:val="a9"/>
              <w:widowControl/>
              <w:numPr>
                <w:ilvl w:val="0"/>
                <w:numId w:val="4"/>
              </w:numPr>
              <w:ind w:leftChars="0"/>
              <w:cnfStyle w:val="0000001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配戴項鍊</w:t>
            </w:r>
          </w:p>
          <w:p w:rsidR="005B3523" w:rsidRPr="005B3523" w:rsidRDefault="005B3523" w:rsidP="005B3523">
            <w:pPr>
              <w:pStyle w:val="a9"/>
              <w:widowControl/>
              <w:numPr>
                <w:ilvl w:val="0"/>
                <w:numId w:val="4"/>
              </w:numPr>
              <w:ind w:leftChars="0"/>
              <w:cnfStyle w:val="0000001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新生自我介紹</w:t>
            </w:r>
          </w:p>
        </w:tc>
      </w:tr>
      <w:tr w:rsidR="005B3523" w:rsidRPr="005B3523" w:rsidTr="005B3523">
        <w:trPr>
          <w:hidden/>
        </w:trPr>
        <w:tc>
          <w:tcPr>
            <w:cnfStyle w:val="001000000000"/>
            <w:tcW w:w="2787" w:type="dxa"/>
          </w:tcPr>
          <w:p w:rsidR="005B3523" w:rsidRPr="005B3523" w:rsidRDefault="005B3523" w:rsidP="005B3523">
            <w:pPr>
              <w:widowControl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Times New Roman" w:cs="新細明體" w:hint="eastAsia"/>
                <w:vanish/>
                <w:kern w:val="0"/>
                <w:szCs w:val="24"/>
              </w:rPr>
              <w:t>1900-1950</w:t>
            </w:r>
          </w:p>
        </w:tc>
        <w:tc>
          <w:tcPr>
            <w:tcW w:w="2787" w:type="dxa"/>
          </w:tcPr>
          <w:p w:rsidR="005B3523" w:rsidRPr="005B3523" w:rsidRDefault="005B3523" w:rsidP="005B3523">
            <w:pPr>
              <w:widowControl/>
              <w:cnfStyle w:val="0000000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小米晚會</w:t>
            </w:r>
          </w:p>
        </w:tc>
        <w:tc>
          <w:tcPr>
            <w:tcW w:w="2788" w:type="dxa"/>
          </w:tcPr>
          <w:p w:rsidR="005B3523" w:rsidRPr="005B3523" w:rsidRDefault="005B3523" w:rsidP="005B3523">
            <w:pPr>
              <w:pStyle w:val="a9"/>
              <w:widowControl/>
              <w:numPr>
                <w:ilvl w:val="0"/>
                <w:numId w:val="5"/>
              </w:numPr>
              <w:ind w:leftChars="0"/>
              <w:cnfStyle w:val="0000000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Times New Roman" w:cs="新細明體" w:hint="eastAsia"/>
                <w:vanish/>
                <w:kern w:val="0"/>
                <w:szCs w:val="24"/>
              </w:rPr>
              <w:t>TAI</w:t>
            </w: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舞團</w:t>
            </w:r>
          </w:p>
          <w:p w:rsidR="005B3523" w:rsidRPr="005B3523" w:rsidRDefault="005B3523" w:rsidP="005B3523">
            <w:pPr>
              <w:pStyle w:val="a9"/>
              <w:widowControl/>
              <w:numPr>
                <w:ilvl w:val="0"/>
                <w:numId w:val="5"/>
              </w:numPr>
              <w:ind w:leftChars="0"/>
              <w:cnfStyle w:val="0000000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卑</w:t>
            </w:r>
            <w:proofErr w:type="gramStart"/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南族駐村</w:t>
            </w:r>
            <w:proofErr w:type="gramEnd"/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藝術家</w:t>
            </w:r>
          </w:p>
          <w:p w:rsidR="005B3523" w:rsidRPr="005B3523" w:rsidRDefault="005B3523" w:rsidP="005B3523">
            <w:pPr>
              <w:pStyle w:val="a9"/>
              <w:widowControl/>
              <w:numPr>
                <w:ilvl w:val="0"/>
                <w:numId w:val="5"/>
              </w:numPr>
              <w:ind w:leftChars="0"/>
              <w:cnfStyle w:val="0000000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布農族學生會</w:t>
            </w:r>
          </w:p>
          <w:p w:rsidR="005B3523" w:rsidRPr="005B3523" w:rsidRDefault="005B3523" w:rsidP="005B3523">
            <w:pPr>
              <w:pStyle w:val="a9"/>
              <w:widowControl/>
              <w:numPr>
                <w:ilvl w:val="0"/>
                <w:numId w:val="5"/>
              </w:numPr>
              <w:ind w:leftChars="0"/>
              <w:cnfStyle w:val="0000000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東華小米園</w:t>
            </w:r>
          </w:p>
        </w:tc>
      </w:tr>
      <w:tr w:rsidR="005B3523" w:rsidRPr="005B3523" w:rsidTr="005B3523">
        <w:trPr>
          <w:cnfStyle w:val="000000100000"/>
          <w:hidden/>
        </w:trPr>
        <w:tc>
          <w:tcPr>
            <w:cnfStyle w:val="001000000000"/>
            <w:tcW w:w="2787" w:type="dxa"/>
          </w:tcPr>
          <w:p w:rsidR="005B3523" w:rsidRPr="005B3523" w:rsidRDefault="005B3523" w:rsidP="005B3523">
            <w:pPr>
              <w:widowControl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Times New Roman" w:cs="新細明體" w:hint="eastAsia"/>
                <w:vanish/>
                <w:kern w:val="0"/>
                <w:szCs w:val="24"/>
              </w:rPr>
              <w:t>1950-2000</w:t>
            </w:r>
          </w:p>
        </w:tc>
        <w:tc>
          <w:tcPr>
            <w:tcW w:w="2787" w:type="dxa"/>
          </w:tcPr>
          <w:p w:rsidR="005B3523" w:rsidRPr="005B3523" w:rsidRDefault="005B3523" w:rsidP="005B3523">
            <w:pPr>
              <w:widowControl/>
              <w:cnfStyle w:val="0000001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小米祝福</w:t>
            </w:r>
          </w:p>
        </w:tc>
        <w:tc>
          <w:tcPr>
            <w:tcW w:w="2788" w:type="dxa"/>
          </w:tcPr>
          <w:p w:rsidR="005B3523" w:rsidRPr="005B3523" w:rsidRDefault="005B3523" w:rsidP="005B3523">
            <w:pPr>
              <w:pStyle w:val="a9"/>
              <w:widowControl/>
              <w:numPr>
                <w:ilvl w:val="0"/>
                <w:numId w:val="6"/>
              </w:numPr>
              <w:ind w:leftChars="0"/>
              <w:cnfStyle w:val="0000001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各族學生會祝福</w:t>
            </w:r>
          </w:p>
          <w:p w:rsidR="005B3523" w:rsidRPr="005B3523" w:rsidRDefault="005B3523" w:rsidP="005B3523">
            <w:pPr>
              <w:pStyle w:val="a9"/>
              <w:widowControl/>
              <w:numPr>
                <w:ilvl w:val="0"/>
                <w:numId w:val="6"/>
              </w:numPr>
              <w:ind w:leftChars="0"/>
              <w:cnfStyle w:val="000000100000"/>
              <w:rPr>
                <w:rFonts w:ascii="Times New Roman" w:eastAsia="標楷體" w:hAnsi="Times New Roman" w:cs="新細明體"/>
                <w:vanish/>
                <w:kern w:val="0"/>
                <w:szCs w:val="24"/>
              </w:rPr>
            </w:pPr>
            <w:r w:rsidRPr="005B3523">
              <w:rPr>
                <w:rFonts w:ascii="Times New Roman" w:eastAsia="標楷體" w:hAnsi="新細明體" w:cs="新細明體" w:hint="eastAsia"/>
                <w:vanish/>
                <w:kern w:val="0"/>
                <w:szCs w:val="24"/>
              </w:rPr>
              <w:t>東華小米園贈送小米</w:t>
            </w:r>
          </w:p>
        </w:tc>
      </w:tr>
    </w:tbl>
    <w:p w:rsidR="005B3523" w:rsidRPr="005B3523" w:rsidRDefault="005B3523" w:rsidP="005B3523">
      <w:pPr>
        <w:widowControl/>
        <w:rPr>
          <w:rFonts w:ascii="Times New Roman" w:eastAsia="標楷體" w:hAnsi="Times New Roman" w:cs="新細明體"/>
          <w:vanish/>
          <w:kern w:val="0"/>
          <w:szCs w:val="24"/>
        </w:rPr>
      </w:pPr>
    </w:p>
    <w:p w:rsidR="00080036" w:rsidRPr="005B3523" w:rsidRDefault="005B3523">
      <w:pPr>
        <w:rPr>
          <w:rFonts w:ascii="Times New Roman" w:eastAsia="標楷體" w:hAnsi="Times New Roman"/>
        </w:rPr>
      </w:pPr>
      <w:r w:rsidRPr="005B3523">
        <w:rPr>
          <w:rFonts w:ascii="Times New Roman" w:eastAsia="標楷體" w:hint="eastAsia"/>
        </w:rPr>
        <w:t>注</w:t>
      </w:r>
      <w:r w:rsidRPr="005B3523">
        <w:rPr>
          <w:rFonts w:ascii="Times New Roman" w:eastAsia="標楷體" w:hAnsiTheme="minorEastAsia" w:hint="eastAsia"/>
        </w:rPr>
        <w:t>：</w:t>
      </w:r>
      <w:r w:rsidRPr="005B3523">
        <w:rPr>
          <w:rFonts w:ascii="Times New Roman" w:eastAsia="標楷體" w:hint="eastAsia"/>
        </w:rPr>
        <w:t>儀式內容當日由耆老帶領，依現場情況適時調整。</w:t>
      </w:r>
    </w:p>
    <w:p w:rsidR="005B3523" w:rsidRPr="005B3523" w:rsidRDefault="005B3523">
      <w:pPr>
        <w:rPr>
          <w:rFonts w:ascii="Times New Roman" w:eastAsia="標楷體" w:hAnsi="Times New Roman"/>
        </w:rPr>
      </w:pPr>
    </w:p>
    <w:p w:rsidR="005B3523" w:rsidRPr="005B3523" w:rsidRDefault="005B3523">
      <w:pPr>
        <w:rPr>
          <w:rFonts w:ascii="Times New Roman" w:eastAsia="標楷體" w:hAnsi="Times New Roman"/>
        </w:rPr>
      </w:pPr>
    </w:p>
    <w:p w:rsidR="005B3523" w:rsidRPr="005B3523" w:rsidRDefault="005B3523">
      <w:pPr>
        <w:rPr>
          <w:rFonts w:ascii="Times New Roman" w:eastAsia="標楷體" w:hAnsi="Times New Roman"/>
        </w:rPr>
      </w:pPr>
      <w:r w:rsidRPr="005B3523">
        <w:rPr>
          <w:rFonts w:ascii="Times New Roman" w:eastAsia="標楷體" w:hint="eastAsia"/>
        </w:rPr>
        <w:t>主辦單位</w:t>
      </w:r>
      <w:r w:rsidRPr="005B3523">
        <w:rPr>
          <w:rFonts w:ascii="Times New Roman" w:eastAsia="標楷體" w:hAnsiTheme="minorEastAsia" w:hint="eastAsia"/>
        </w:rPr>
        <w:t>：東華小米園</w:t>
      </w:r>
    </w:p>
    <w:p w:rsidR="005B3523" w:rsidRPr="005B3523" w:rsidRDefault="005B3523">
      <w:pPr>
        <w:rPr>
          <w:rFonts w:ascii="Times New Roman" w:eastAsia="標楷體" w:hAnsi="Times New Roman"/>
        </w:rPr>
      </w:pPr>
      <w:r w:rsidRPr="005B3523">
        <w:rPr>
          <w:rFonts w:ascii="Times New Roman" w:eastAsia="標楷體" w:hAnsiTheme="minorEastAsia" w:hint="eastAsia"/>
        </w:rPr>
        <w:t>協辦單位：布農族學生會、</w:t>
      </w:r>
      <w:r w:rsidRPr="005B3523">
        <w:rPr>
          <w:rFonts w:ascii="Times New Roman" w:eastAsia="標楷體" w:hAnsi="Times New Roman" w:hint="eastAsia"/>
        </w:rPr>
        <w:t>FATS</w:t>
      </w:r>
      <w:r w:rsidRPr="005B3523">
        <w:rPr>
          <w:rFonts w:ascii="Times New Roman" w:eastAsia="標楷體" w:hAnsiTheme="minorEastAsia" w:hint="eastAsia"/>
        </w:rPr>
        <w:t>、族群關係與文化學系、民族語言與傳播學系</w:t>
      </w:r>
    </w:p>
    <w:sectPr w:rsidR="005B3523" w:rsidRPr="005B3523" w:rsidSect="000800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514" w:rsidRDefault="00D40514" w:rsidP="005B3523">
      <w:r>
        <w:separator/>
      </w:r>
    </w:p>
  </w:endnote>
  <w:endnote w:type="continuationSeparator" w:id="0">
    <w:p w:rsidR="00D40514" w:rsidRDefault="00D40514" w:rsidP="005B3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514" w:rsidRDefault="00D40514" w:rsidP="005B3523">
      <w:r>
        <w:separator/>
      </w:r>
    </w:p>
  </w:footnote>
  <w:footnote w:type="continuationSeparator" w:id="0">
    <w:p w:rsidR="00D40514" w:rsidRDefault="00D40514" w:rsidP="005B3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2DCF"/>
    <w:multiLevelType w:val="multilevel"/>
    <w:tmpl w:val="0EFE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E53CB"/>
    <w:multiLevelType w:val="hybridMultilevel"/>
    <w:tmpl w:val="D35885A0"/>
    <w:lvl w:ilvl="0" w:tplc="6D34E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EA3413"/>
    <w:multiLevelType w:val="hybridMultilevel"/>
    <w:tmpl w:val="04D84DFE"/>
    <w:lvl w:ilvl="0" w:tplc="3B406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432E6C"/>
    <w:multiLevelType w:val="hybridMultilevel"/>
    <w:tmpl w:val="CE88BB52"/>
    <w:lvl w:ilvl="0" w:tplc="F6829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A02AA1"/>
    <w:multiLevelType w:val="hybridMultilevel"/>
    <w:tmpl w:val="4B1833D2"/>
    <w:lvl w:ilvl="0" w:tplc="0FB86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6B274F"/>
    <w:multiLevelType w:val="multilevel"/>
    <w:tmpl w:val="E30E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523"/>
    <w:rsid w:val="00080036"/>
    <w:rsid w:val="00180366"/>
    <w:rsid w:val="005B3523"/>
    <w:rsid w:val="00732A30"/>
    <w:rsid w:val="00BC4D18"/>
    <w:rsid w:val="00CF02D7"/>
    <w:rsid w:val="00D4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36"/>
    <w:pPr>
      <w:widowControl w:val="0"/>
    </w:pPr>
  </w:style>
  <w:style w:type="paragraph" w:styleId="3">
    <w:name w:val="heading 3"/>
    <w:basedOn w:val="a"/>
    <w:link w:val="30"/>
    <w:uiPriority w:val="9"/>
    <w:qFormat/>
    <w:rsid w:val="005B352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3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352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3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352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B352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5B3523"/>
    <w:rPr>
      <w:color w:val="0000FF"/>
      <w:u w:val="single"/>
    </w:rPr>
  </w:style>
  <w:style w:type="character" w:customStyle="1" w:styleId="btn">
    <w:name w:val="btn"/>
    <w:basedOn w:val="a0"/>
    <w:rsid w:val="005B3523"/>
  </w:style>
  <w:style w:type="character" w:customStyle="1" w:styleId="btn5">
    <w:name w:val="btn5"/>
    <w:basedOn w:val="a0"/>
    <w:rsid w:val="005B3523"/>
  </w:style>
  <w:style w:type="character" w:customStyle="1" w:styleId="nobold">
    <w:name w:val="nobold"/>
    <w:basedOn w:val="a0"/>
    <w:rsid w:val="005B3523"/>
  </w:style>
  <w:style w:type="paragraph" w:customStyle="1" w:styleId="yiv1223067652s3">
    <w:name w:val="yiv1223067652s3"/>
    <w:basedOn w:val="a"/>
    <w:rsid w:val="005B35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yiv1223067652s2">
    <w:name w:val="yiv1223067652s2"/>
    <w:basedOn w:val="a0"/>
    <w:rsid w:val="005B3523"/>
  </w:style>
  <w:style w:type="character" w:customStyle="1" w:styleId="yiv1223067652s4">
    <w:name w:val="yiv1223067652s4"/>
    <w:basedOn w:val="a0"/>
    <w:rsid w:val="005B3523"/>
  </w:style>
  <w:style w:type="paragraph" w:customStyle="1" w:styleId="yiv1223067652s21">
    <w:name w:val="yiv1223067652s21"/>
    <w:basedOn w:val="a"/>
    <w:rsid w:val="005B35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yiv1223067652s5">
    <w:name w:val="yiv1223067652s5"/>
    <w:basedOn w:val="a0"/>
    <w:rsid w:val="005B3523"/>
  </w:style>
  <w:style w:type="table" w:styleId="a8">
    <w:name w:val="Table Grid"/>
    <w:basedOn w:val="a1"/>
    <w:uiPriority w:val="59"/>
    <w:rsid w:val="005B35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5B352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9">
    <w:name w:val="List Paragraph"/>
    <w:basedOn w:val="a"/>
    <w:uiPriority w:val="34"/>
    <w:qFormat/>
    <w:rsid w:val="005B352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7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94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0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489603">
          <w:marLeft w:val="0"/>
          <w:marRight w:val="0"/>
          <w:marTop w:val="0"/>
          <w:marBottom w:val="0"/>
          <w:divBdr>
            <w:top w:val="single" w:sz="6" w:space="5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90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ndh</cp:lastModifiedBy>
  <cp:revision>2</cp:revision>
  <dcterms:created xsi:type="dcterms:W3CDTF">2012-10-24T01:18:00Z</dcterms:created>
  <dcterms:modified xsi:type="dcterms:W3CDTF">2012-10-24T01:18:00Z</dcterms:modified>
</cp:coreProperties>
</file>