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8A" w:rsidRPr="000724C6" w:rsidRDefault="00FB767E" w:rsidP="00B85B8A">
      <w:pPr>
        <w:jc w:val="center"/>
        <w:rPr>
          <w:b/>
          <w:sz w:val="40"/>
          <w:szCs w:val="40"/>
        </w:rPr>
      </w:pPr>
      <w:r w:rsidRPr="000724C6">
        <w:rPr>
          <w:rFonts w:hint="eastAsia"/>
          <w:b/>
          <w:sz w:val="40"/>
          <w:szCs w:val="40"/>
        </w:rPr>
        <w:t>長榮</w:t>
      </w:r>
      <w:r w:rsidR="00B85B8A" w:rsidRPr="000724C6">
        <w:rPr>
          <w:rFonts w:hint="eastAsia"/>
          <w:b/>
          <w:sz w:val="40"/>
          <w:szCs w:val="40"/>
        </w:rPr>
        <w:t>航空</w:t>
      </w:r>
    </w:p>
    <w:p w:rsidR="00741C53" w:rsidRPr="000724C6" w:rsidRDefault="002E379C" w:rsidP="00741C53">
      <w:pPr>
        <w:rPr>
          <w:sz w:val="32"/>
          <w:szCs w:val="32"/>
        </w:rPr>
      </w:pPr>
      <w:r>
        <w:rPr>
          <w:rFonts w:hint="eastAsia"/>
          <w:sz w:val="32"/>
          <w:szCs w:val="32"/>
        </w:rPr>
        <w:t>本校師生同仁購買機票時或</w:t>
      </w:r>
      <w:r w:rsidR="00DC5E79">
        <w:rPr>
          <w:rFonts w:hint="eastAsia"/>
          <w:sz w:val="32"/>
          <w:szCs w:val="32"/>
        </w:rPr>
        <w:t>向</w:t>
      </w:r>
      <w:r w:rsidR="00741C53" w:rsidRPr="000724C6">
        <w:rPr>
          <w:rFonts w:hint="eastAsia"/>
          <w:sz w:val="32"/>
          <w:szCs w:val="32"/>
        </w:rPr>
        <w:t>旅行社購票，請於訂位及開票時</w:t>
      </w:r>
      <w:r w:rsidR="007565CA">
        <w:rPr>
          <w:rFonts w:hint="eastAsia"/>
          <w:sz w:val="32"/>
          <w:szCs w:val="32"/>
        </w:rPr>
        <w:t>輸</w:t>
      </w:r>
      <w:r w:rsidR="00741C53" w:rsidRPr="000724C6">
        <w:rPr>
          <w:rFonts w:hint="eastAsia"/>
          <w:sz w:val="32"/>
          <w:szCs w:val="32"/>
        </w:rPr>
        <w:t>入相關代碼，得同時累積機票淨額。</w:t>
      </w:r>
      <w:r w:rsidR="00DC5E79" w:rsidRPr="000724C6">
        <w:rPr>
          <w:rFonts w:hint="eastAsia"/>
          <w:sz w:val="32"/>
          <w:szCs w:val="32"/>
        </w:rPr>
        <w:t>當累計達一定數量時，航空公司即會回饋本校免費機票與升等券。</w:t>
      </w:r>
    </w:p>
    <w:p w:rsidR="00741C53" w:rsidRPr="000724C6" w:rsidRDefault="00B85B8A" w:rsidP="00741C53">
      <w:pPr>
        <w:rPr>
          <w:sz w:val="32"/>
          <w:szCs w:val="32"/>
        </w:rPr>
      </w:pPr>
      <w:r w:rsidRPr="000724C6">
        <w:rPr>
          <w:rFonts w:asciiTheme="minorEastAsia" w:hAnsiTheme="minorEastAsia" w:hint="eastAsia"/>
          <w:sz w:val="32"/>
          <w:szCs w:val="32"/>
        </w:rPr>
        <w:t>◎</w:t>
      </w:r>
      <w:r w:rsidR="00741C53" w:rsidRPr="000724C6">
        <w:rPr>
          <w:rFonts w:hint="eastAsia"/>
          <w:sz w:val="32"/>
          <w:szCs w:val="32"/>
          <w:u w:val="single"/>
        </w:rPr>
        <w:t>免費機票</w:t>
      </w:r>
      <w:r w:rsidR="00741C53" w:rsidRPr="000724C6">
        <w:rPr>
          <w:rFonts w:hint="eastAsia"/>
          <w:sz w:val="32"/>
          <w:szCs w:val="32"/>
        </w:rPr>
        <w:t>將贊助本校清寒交換學生或補助其他清寒學生之用，</w:t>
      </w:r>
    </w:p>
    <w:p w:rsidR="00741C53" w:rsidRPr="000724C6" w:rsidRDefault="00E42D3F" w:rsidP="00741C53">
      <w:pPr>
        <w:rPr>
          <w:sz w:val="32"/>
          <w:szCs w:val="32"/>
        </w:rPr>
      </w:pPr>
      <w:r w:rsidRPr="000724C6">
        <w:rPr>
          <w:rFonts w:hint="eastAsia"/>
          <w:sz w:val="32"/>
          <w:szCs w:val="32"/>
        </w:rPr>
        <w:t xml:space="preserve">  </w:t>
      </w:r>
      <w:r w:rsidR="00741C53" w:rsidRPr="000724C6">
        <w:rPr>
          <w:rFonts w:hint="eastAsia"/>
          <w:sz w:val="32"/>
          <w:szCs w:val="32"/>
        </w:rPr>
        <w:t>訂位：請於訂位紀錄</w:t>
      </w:r>
      <w:r w:rsidR="00741C53" w:rsidRPr="000724C6">
        <w:rPr>
          <w:rFonts w:hint="eastAsia"/>
          <w:sz w:val="32"/>
          <w:szCs w:val="32"/>
        </w:rPr>
        <w:t>OSI</w:t>
      </w:r>
      <w:r w:rsidR="00741C53" w:rsidRPr="000724C6">
        <w:rPr>
          <w:rFonts w:hint="eastAsia"/>
          <w:sz w:val="32"/>
          <w:szCs w:val="32"/>
        </w:rPr>
        <w:t>項目內註明</w:t>
      </w:r>
      <w:r w:rsidRPr="000724C6">
        <w:rPr>
          <w:rFonts w:hint="eastAsia"/>
          <w:b/>
          <w:sz w:val="32"/>
          <w:szCs w:val="32"/>
          <w:u w:val="single"/>
        </w:rPr>
        <w:t>CFFPTPE3842</w:t>
      </w:r>
    </w:p>
    <w:p w:rsidR="00741C53" w:rsidRPr="000724C6" w:rsidRDefault="00E42D3F" w:rsidP="00741C53">
      <w:pPr>
        <w:rPr>
          <w:sz w:val="32"/>
          <w:szCs w:val="32"/>
        </w:rPr>
      </w:pPr>
      <w:r w:rsidRPr="000724C6">
        <w:rPr>
          <w:rFonts w:hint="eastAsia"/>
          <w:sz w:val="32"/>
          <w:szCs w:val="32"/>
        </w:rPr>
        <w:t xml:space="preserve">  </w:t>
      </w:r>
      <w:r w:rsidR="00741C53" w:rsidRPr="000724C6">
        <w:rPr>
          <w:rFonts w:hint="eastAsia"/>
          <w:sz w:val="32"/>
          <w:szCs w:val="32"/>
        </w:rPr>
        <w:t>開票：請於機票</w:t>
      </w:r>
      <w:r w:rsidR="00741C53" w:rsidRPr="000724C6">
        <w:rPr>
          <w:rFonts w:hint="eastAsia"/>
          <w:sz w:val="32"/>
          <w:szCs w:val="32"/>
        </w:rPr>
        <w:t>Form of Payment</w:t>
      </w:r>
      <w:r w:rsidR="00741C53" w:rsidRPr="000724C6">
        <w:rPr>
          <w:rFonts w:hint="eastAsia"/>
          <w:sz w:val="32"/>
          <w:szCs w:val="32"/>
        </w:rPr>
        <w:t>欄位內註明商務代碼</w:t>
      </w:r>
      <w:r w:rsidR="00741C53" w:rsidRPr="000724C6">
        <w:rPr>
          <w:rFonts w:hint="eastAsia"/>
          <w:b/>
          <w:sz w:val="32"/>
          <w:szCs w:val="32"/>
          <w:u w:val="single"/>
        </w:rPr>
        <w:t>TPE</w:t>
      </w:r>
      <w:r w:rsidR="00B85B8A" w:rsidRPr="000724C6">
        <w:rPr>
          <w:rFonts w:hint="eastAsia"/>
          <w:b/>
          <w:sz w:val="32"/>
          <w:szCs w:val="32"/>
          <w:u w:val="single"/>
        </w:rPr>
        <w:t>3842</w:t>
      </w:r>
    </w:p>
    <w:p w:rsidR="00E42D3F" w:rsidRPr="000724C6" w:rsidRDefault="00E42D3F" w:rsidP="00741C53">
      <w:pPr>
        <w:rPr>
          <w:sz w:val="32"/>
          <w:szCs w:val="32"/>
        </w:rPr>
      </w:pPr>
      <w:r w:rsidRPr="000724C6">
        <w:rPr>
          <w:rFonts w:asciiTheme="minorEastAsia" w:hAnsiTheme="minorEastAsia" w:hint="eastAsia"/>
          <w:sz w:val="32"/>
          <w:szCs w:val="32"/>
        </w:rPr>
        <w:t>◎</w:t>
      </w:r>
      <w:r w:rsidRPr="000724C6">
        <w:rPr>
          <w:rFonts w:asciiTheme="minorEastAsia" w:hAnsiTheme="minorEastAsia" w:hint="eastAsia"/>
          <w:sz w:val="32"/>
          <w:szCs w:val="32"/>
          <w:u w:val="single"/>
        </w:rPr>
        <w:t>升等券</w:t>
      </w:r>
      <w:r w:rsidRPr="000724C6">
        <w:rPr>
          <w:rFonts w:hint="eastAsia"/>
          <w:sz w:val="32"/>
          <w:szCs w:val="32"/>
        </w:rPr>
        <w:t>請保留機票號碼等資訊，以利艙位升券抽獎之兌作業</w:t>
      </w:r>
      <w:r w:rsidRPr="000724C6">
        <w:rPr>
          <w:rFonts w:asciiTheme="minorEastAsia" w:hAnsiTheme="minorEastAsia" w:hint="eastAsia"/>
          <w:sz w:val="32"/>
          <w:szCs w:val="32"/>
        </w:rPr>
        <w:t>，</w:t>
      </w:r>
      <w:r w:rsidRPr="000724C6">
        <w:rPr>
          <w:rFonts w:hint="eastAsia"/>
          <w:sz w:val="32"/>
          <w:szCs w:val="32"/>
        </w:rPr>
        <w:t>但如非本校友、教職員工生，將取消抽獎資格。</w:t>
      </w:r>
    </w:p>
    <w:p w:rsidR="00741C53" w:rsidRPr="000724C6" w:rsidRDefault="00741C53" w:rsidP="00741C53">
      <w:pPr>
        <w:rPr>
          <w:sz w:val="32"/>
          <w:szCs w:val="32"/>
        </w:rPr>
      </w:pPr>
      <w:r w:rsidRPr="000724C6">
        <w:rPr>
          <w:rFonts w:hint="eastAsia"/>
          <w:sz w:val="32"/>
          <w:szCs w:val="32"/>
        </w:rPr>
        <w:t>注意事項：</w:t>
      </w:r>
    </w:p>
    <w:p w:rsidR="00741C53" w:rsidRPr="000724C6" w:rsidRDefault="00741C53" w:rsidP="00741C53">
      <w:pPr>
        <w:rPr>
          <w:sz w:val="32"/>
          <w:szCs w:val="32"/>
        </w:rPr>
      </w:pPr>
      <w:r w:rsidRPr="000724C6">
        <w:rPr>
          <w:rFonts w:hint="eastAsia"/>
          <w:sz w:val="32"/>
          <w:szCs w:val="32"/>
        </w:rPr>
        <w:t>一、參與本活動者，仍可享有個人哩程數之累積。</w:t>
      </w:r>
    </w:p>
    <w:p w:rsidR="00741C53" w:rsidRPr="000724C6" w:rsidRDefault="00741C53" w:rsidP="00741C53">
      <w:pPr>
        <w:rPr>
          <w:sz w:val="32"/>
          <w:szCs w:val="32"/>
        </w:rPr>
      </w:pPr>
      <w:r w:rsidRPr="000724C6">
        <w:rPr>
          <w:rFonts w:hint="eastAsia"/>
          <w:sz w:val="32"/>
          <w:szCs w:val="32"/>
        </w:rPr>
        <w:t>二、機票淨額</w:t>
      </w:r>
      <w:r w:rsidRPr="000724C6">
        <w:rPr>
          <w:rFonts w:hint="eastAsia"/>
          <w:sz w:val="32"/>
          <w:szCs w:val="32"/>
        </w:rPr>
        <w:t>/</w:t>
      </w:r>
      <w:r w:rsidRPr="000724C6">
        <w:rPr>
          <w:rFonts w:hint="eastAsia"/>
          <w:sz w:val="32"/>
          <w:szCs w:val="32"/>
        </w:rPr>
        <w:t>哩程數累計不包括團體票、折扣票、免費機票等。</w:t>
      </w:r>
    </w:p>
    <w:p w:rsidR="00741C53" w:rsidRPr="000724C6" w:rsidRDefault="00741C53" w:rsidP="00741C53">
      <w:pPr>
        <w:rPr>
          <w:sz w:val="32"/>
          <w:szCs w:val="32"/>
        </w:rPr>
      </w:pPr>
      <w:r w:rsidRPr="000724C6">
        <w:rPr>
          <w:rFonts w:hint="eastAsia"/>
          <w:sz w:val="32"/>
          <w:szCs w:val="32"/>
        </w:rPr>
        <w:t>三、</w:t>
      </w:r>
      <w:r w:rsidR="00E42D3F" w:rsidRPr="000724C6">
        <w:rPr>
          <w:rFonts w:hint="eastAsia"/>
          <w:sz w:val="32"/>
          <w:szCs w:val="32"/>
        </w:rPr>
        <w:t>請協助保護相關代碼</w:t>
      </w:r>
      <w:r w:rsidR="00E230C9" w:rsidRPr="000724C6">
        <w:rPr>
          <w:rFonts w:hint="eastAsia"/>
          <w:sz w:val="32"/>
          <w:szCs w:val="32"/>
        </w:rPr>
        <w:t>機密</w:t>
      </w:r>
      <w:r w:rsidR="00E42D3F" w:rsidRPr="000724C6">
        <w:rPr>
          <w:rFonts w:asciiTheme="minorEastAsia" w:hAnsiTheme="minorEastAsia" w:hint="eastAsia"/>
          <w:sz w:val="32"/>
          <w:szCs w:val="32"/>
        </w:rPr>
        <w:t>。</w:t>
      </w:r>
    </w:p>
    <w:p w:rsidR="00B85B8A" w:rsidRDefault="00B85B8A" w:rsidP="00741C53">
      <w:pPr>
        <w:rPr>
          <w:rFonts w:asciiTheme="minorEastAsia" w:hAnsiTheme="minorEastAsia"/>
        </w:rPr>
      </w:pPr>
      <w:bookmarkStart w:id="0" w:name="_GoBack"/>
      <w:bookmarkEnd w:id="0"/>
    </w:p>
    <w:p w:rsidR="00AF6602" w:rsidRPr="00E230C9" w:rsidRDefault="00AF6602" w:rsidP="00741C53"/>
    <w:p w:rsidR="002E379C" w:rsidRDefault="002E379C" w:rsidP="00741C53"/>
    <w:p w:rsidR="002E379C" w:rsidRDefault="002E379C" w:rsidP="00741C53"/>
    <w:p w:rsidR="002E379C" w:rsidRDefault="002E379C" w:rsidP="00741C53"/>
    <w:p w:rsidR="002E379C" w:rsidRDefault="002E379C" w:rsidP="00741C53"/>
    <w:p w:rsidR="002E379C" w:rsidRDefault="002E379C" w:rsidP="00741C53"/>
    <w:p w:rsidR="002E379C" w:rsidRDefault="002E379C" w:rsidP="00741C53"/>
    <w:p w:rsidR="002E379C" w:rsidRDefault="002E379C" w:rsidP="00741C53"/>
    <w:p w:rsidR="002E379C" w:rsidRDefault="002E379C" w:rsidP="00741C53"/>
    <w:p w:rsidR="002E379C" w:rsidRDefault="002E379C" w:rsidP="00741C53"/>
    <w:p w:rsidR="002E379C" w:rsidRDefault="002E379C" w:rsidP="002E379C">
      <w:pPr>
        <w:spacing w:line="0" w:lineRule="atLeast"/>
        <w:jc w:val="center"/>
        <w:rPr>
          <w:rFonts w:ascii="標楷體" w:eastAsia="標楷體" w:hAnsi="標楷體" w:cs="Times New Roman"/>
          <w:b/>
          <w:sz w:val="28"/>
          <w:szCs w:val="28"/>
        </w:rPr>
      </w:pPr>
    </w:p>
    <w:p w:rsidR="002E379C" w:rsidRPr="002E379C" w:rsidRDefault="00BD416D" w:rsidP="002E379C">
      <w:pPr>
        <w:spacing w:line="0" w:lineRule="atLeast"/>
        <w:jc w:val="center"/>
        <w:rPr>
          <w:rFonts w:ascii="標楷體" w:eastAsia="標楷體" w:hAnsi="標楷體" w:cs="Times New Roman" w:hint="eastAsia"/>
          <w:b/>
          <w:sz w:val="28"/>
          <w:szCs w:val="28"/>
        </w:rPr>
      </w:pPr>
      <w:r w:rsidRPr="00BD416D">
        <w:rPr>
          <w:rFonts w:ascii="標楷體" w:eastAsia="標楷體" w:hAnsi="標楷體" w:cs="Times New Roman" w:hint="eastAsia"/>
          <w:b/>
          <w:sz w:val="28"/>
          <w:szCs w:val="28"/>
        </w:rPr>
        <w:lastRenderedPageBreak/>
        <w:t>長榮航空企業會員</w:t>
      </w:r>
      <w:r w:rsidR="002E379C" w:rsidRPr="002E379C">
        <w:rPr>
          <w:rFonts w:ascii="標楷體" w:eastAsia="標楷體" w:hAnsi="標楷體" w:cs="Times New Roman" w:hint="eastAsia"/>
          <w:b/>
          <w:sz w:val="28"/>
          <w:szCs w:val="28"/>
        </w:rPr>
        <w:t>【權利義務】</w:t>
      </w:r>
    </w:p>
    <w:p w:rsidR="002E379C" w:rsidRPr="002E379C" w:rsidRDefault="002E379C" w:rsidP="002E379C">
      <w:pPr>
        <w:spacing w:line="0" w:lineRule="atLeast"/>
        <w:jc w:val="both"/>
        <w:rPr>
          <w:rFonts w:ascii="標楷體" w:eastAsia="標楷體" w:hAnsi="標楷體" w:cs="Times New Roman" w:hint="eastAsia"/>
          <w:sz w:val="28"/>
          <w:szCs w:val="28"/>
        </w:rPr>
      </w:pPr>
      <w:r w:rsidRPr="002E379C">
        <w:rPr>
          <w:rFonts w:ascii="標楷體" w:eastAsia="標楷體" w:hAnsi="標楷體" w:cs="Times New Roman"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400800" cy="0"/>
                <wp:effectExtent l="9525" t="11430" r="9525" b="762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6E7EF"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"/>
            </w:pict>
          </mc:Fallback>
        </mc:AlternateContent>
      </w:r>
    </w:p>
    <w:p w:rsidR="002E379C" w:rsidRPr="002E379C" w:rsidRDefault="002E379C" w:rsidP="002E379C">
      <w:pPr>
        <w:numPr>
          <w:ilvl w:val="0"/>
          <w:numId w:val="1"/>
        </w:numPr>
        <w:spacing w:line="0" w:lineRule="atLeast"/>
        <w:jc w:val="both"/>
        <w:rPr>
          <w:rFonts w:ascii="標楷體" w:eastAsia="標楷體" w:hAnsi="標楷體" w:cs="Times New Roman" w:hint="eastAsia"/>
          <w:color w:val="000000"/>
          <w:sz w:val="28"/>
          <w:szCs w:val="28"/>
        </w:rPr>
      </w:pPr>
      <w:r w:rsidRPr="002E379C">
        <w:rPr>
          <w:rFonts w:ascii="標楷體" w:eastAsia="標楷體" w:hAnsi="標楷體" w:cs="Times New Roman" w:hint="eastAsia"/>
          <w:sz w:val="28"/>
          <w:szCs w:val="28"/>
        </w:rPr>
        <w:t>每半年機票淨額累計達一定金額，即有機會獲得免費機票、升等券等回饋</w:t>
      </w:r>
      <w:r w:rsidRPr="002E379C">
        <w:rPr>
          <w:rFonts w:ascii="標楷體" w:eastAsia="標楷體" w:hAnsi="標楷體" w:cs="Times New Roman" w:hint="eastAsia"/>
          <w:color w:val="000000"/>
          <w:sz w:val="28"/>
          <w:szCs w:val="28"/>
        </w:rPr>
        <w:t>。</w:t>
      </w:r>
    </w:p>
    <w:p w:rsidR="002E379C" w:rsidRPr="002E379C" w:rsidRDefault="002E379C" w:rsidP="002E379C">
      <w:pPr>
        <w:numPr>
          <w:ilvl w:val="0"/>
          <w:numId w:val="1"/>
        </w:numPr>
        <w:spacing w:line="0" w:lineRule="atLeast"/>
        <w:jc w:val="both"/>
        <w:rPr>
          <w:rFonts w:ascii="標楷體" w:eastAsia="標楷體" w:hAnsi="標楷體" w:cs="Times New Roman" w:hint="eastAsia"/>
          <w:sz w:val="28"/>
          <w:szCs w:val="28"/>
        </w:rPr>
      </w:pPr>
      <w:r w:rsidRPr="002E379C">
        <w:rPr>
          <w:rFonts w:ascii="標楷體" w:eastAsia="標楷體" w:hAnsi="標楷體" w:cs="Times New Roman" w:hint="eastAsia"/>
          <w:sz w:val="28"/>
          <w:szCs w:val="28"/>
        </w:rPr>
        <w:t>貴公司指定之配合旅行社，請務必於訂位、開票時註記  貴公司之商務代碼，方可累計機票淨額；若未註記或註記錯誤，將無法享有機票淨額累計，且無法於事後補登。範例如下：</w:t>
      </w:r>
    </w:p>
    <w:p w:rsidR="002E379C" w:rsidRPr="002E379C" w:rsidRDefault="002E379C" w:rsidP="002E379C">
      <w:pPr>
        <w:spacing w:line="0" w:lineRule="atLeast"/>
        <w:jc w:val="both"/>
        <w:rPr>
          <w:rFonts w:ascii="標楷體" w:eastAsia="標楷體" w:hAnsi="標楷體" w:cs="Times New Roman" w:hint="eastAsia"/>
          <w:sz w:val="28"/>
          <w:szCs w:val="28"/>
        </w:rPr>
      </w:pPr>
      <w:r w:rsidRPr="002E379C">
        <w:rPr>
          <w:rFonts w:ascii="標楷體" w:eastAsia="標楷體" w:hAnsi="標楷體" w:cs="Times New Roman" w:hint="eastAsia"/>
          <w:sz w:val="28"/>
          <w:szCs w:val="28"/>
        </w:rPr>
        <w:t xml:space="preserve">     訂位：於訂位記錄OSI項目註明 </w:t>
      </w:r>
      <w:r w:rsidRPr="002E379C">
        <w:rPr>
          <w:rFonts w:ascii="標楷體" w:eastAsia="標楷體" w:hAnsi="標楷體" w:cs="Times New Roman" w:hint="eastAsia"/>
          <w:sz w:val="28"/>
          <w:szCs w:val="28"/>
          <w:u w:val="single"/>
        </w:rPr>
        <w:t>CFFPTPE3842</w:t>
      </w:r>
    </w:p>
    <w:p w:rsidR="002E379C" w:rsidRPr="002E379C" w:rsidRDefault="002E379C" w:rsidP="002E379C">
      <w:pPr>
        <w:spacing w:line="0" w:lineRule="atLeast"/>
        <w:jc w:val="both"/>
        <w:rPr>
          <w:rFonts w:ascii="標楷體" w:eastAsia="標楷體" w:hAnsi="標楷體" w:cs="Times New Roman" w:hint="eastAsia"/>
          <w:color w:val="000000"/>
          <w:sz w:val="28"/>
          <w:szCs w:val="28"/>
          <w:u w:val="single"/>
        </w:rPr>
      </w:pPr>
      <w:r w:rsidRPr="002E379C">
        <w:rPr>
          <w:rFonts w:ascii="標楷體" w:eastAsia="標楷體" w:hAnsi="標楷體" w:cs="Times New Roman" w:hint="eastAsia"/>
          <w:sz w:val="28"/>
          <w:szCs w:val="28"/>
        </w:rPr>
        <w:t xml:space="preserve">     開票：於機票Form of Payment欄位註明商務代碼 </w:t>
      </w:r>
      <w:r w:rsidRPr="002E379C">
        <w:rPr>
          <w:rFonts w:ascii="標楷體" w:eastAsia="標楷體" w:hAnsi="標楷體" w:cs="Times New Roman" w:hint="eastAsia"/>
          <w:sz w:val="28"/>
          <w:szCs w:val="28"/>
          <w:u w:val="single"/>
        </w:rPr>
        <w:t>TPE3842</w:t>
      </w:r>
    </w:p>
    <w:p w:rsidR="002E379C" w:rsidRPr="002E379C" w:rsidRDefault="002E379C" w:rsidP="002E379C">
      <w:pPr>
        <w:spacing w:line="0" w:lineRule="atLeast"/>
        <w:jc w:val="both"/>
        <w:rPr>
          <w:rFonts w:ascii="標楷體" w:eastAsia="標楷體" w:hAnsi="標楷體" w:cs="Times New Roman" w:hint="eastAsia"/>
          <w:b/>
          <w:color w:val="000000"/>
          <w:sz w:val="28"/>
          <w:szCs w:val="28"/>
        </w:rPr>
      </w:pPr>
      <w:r w:rsidRPr="002E379C">
        <w:rPr>
          <w:rFonts w:ascii="標楷體" w:eastAsia="標楷體" w:hAnsi="標楷體" w:cs="Times New Roman" w:hint="eastAsia"/>
          <w:b/>
          <w:color w:val="000000"/>
          <w:sz w:val="28"/>
          <w:szCs w:val="28"/>
        </w:rPr>
        <w:t>開立長榮航空及立榮航空本票且搭乘長榮航空及立榮航空營運之國際線航班機票淨值金額皆可進行累計。</w:t>
      </w:r>
    </w:p>
    <w:p w:rsidR="002E379C" w:rsidRPr="002E379C" w:rsidRDefault="002E379C" w:rsidP="002E379C">
      <w:pPr>
        <w:numPr>
          <w:ilvl w:val="0"/>
          <w:numId w:val="1"/>
        </w:numPr>
        <w:spacing w:line="0" w:lineRule="atLeast"/>
        <w:jc w:val="both"/>
        <w:rPr>
          <w:rFonts w:ascii="標楷體" w:eastAsia="標楷體" w:hAnsi="標楷體" w:cs="Times New Roman" w:hint="eastAsia"/>
          <w:color w:val="FF0000"/>
          <w:sz w:val="28"/>
          <w:szCs w:val="28"/>
        </w:rPr>
      </w:pPr>
      <w:r w:rsidRPr="002E379C">
        <w:rPr>
          <w:rFonts w:ascii="標楷體" w:eastAsia="標楷體" w:hAnsi="標楷體" w:cs="Times New Roman" w:hint="eastAsia"/>
          <w:color w:val="000000"/>
          <w:sz w:val="28"/>
          <w:szCs w:val="28"/>
        </w:rPr>
        <w:t>機票淨額累計不包含團體票、折扣票、免費機票、稅金及他航航段票價，並限台灣開立且第一段由</w:t>
      </w:r>
      <w:r w:rsidRPr="002E379C">
        <w:rPr>
          <w:rFonts w:ascii="標楷體" w:eastAsia="標楷體" w:hAnsi="標楷體" w:cs="Times New Roman" w:hint="eastAsia"/>
          <w:sz w:val="28"/>
          <w:szCs w:val="28"/>
        </w:rPr>
        <w:t>台灣出發(大陸直航班機除外)之機票。</w:t>
      </w:r>
    </w:p>
    <w:p w:rsidR="002E379C" w:rsidRPr="002E379C" w:rsidRDefault="002E379C" w:rsidP="002E379C">
      <w:pPr>
        <w:numPr>
          <w:ilvl w:val="0"/>
          <w:numId w:val="1"/>
        </w:numPr>
        <w:spacing w:line="0" w:lineRule="atLeast"/>
        <w:jc w:val="both"/>
        <w:rPr>
          <w:rFonts w:ascii="標楷體" w:eastAsia="標楷體" w:hAnsi="標楷體" w:cs="Times New Roman" w:hint="eastAsia"/>
          <w:sz w:val="28"/>
          <w:szCs w:val="28"/>
        </w:rPr>
      </w:pPr>
      <w:r w:rsidRPr="002E379C">
        <w:rPr>
          <w:rFonts w:ascii="標楷體" w:eastAsia="標楷體" w:hAnsi="標楷體" w:cs="Times New Roman" w:hint="eastAsia"/>
          <w:sz w:val="28"/>
          <w:szCs w:val="28"/>
        </w:rPr>
        <w:t>若配合旅行社開立非  貴公司之機票，且因註記  貴公司商務代碼而享機票金額累計者，經查屬實，本公司有權取消該旅行社先前所累計之不當機票淨額。</w:t>
      </w:r>
    </w:p>
    <w:p w:rsidR="002E379C" w:rsidRPr="002E379C" w:rsidRDefault="002E379C" w:rsidP="002E379C">
      <w:pPr>
        <w:numPr>
          <w:ilvl w:val="0"/>
          <w:numId w:val="1"/>
        </w:numPr>
        <w:spacing w:line="0" w:lineRule="atLeast"/>
        <w:jc w:val="both"/>
        <w:rPr>
          <w:rFonts w:ascii="標楷體" w:eastAsia="標楷體" w:hAnsi="標楷體" w:cs="Times New Roman" w:hint="eastAsia"/>
          <w:sz w:val="28"/>
          <w:szCs w:val="28"/>
        </w:rPr>
      </w:pPr>
      <w:r w:rsidRPr="002E379C">
        <w:rPr>
          <w:rFonts w:ascii="標楷體" w:eastAsia="標楷體" w:hAnsi="標楷體" w:cs="Times New Roman" w:hint="eastAsia"/>
          <w:sz w:val="28"/>
          <w:szCs w:val="28"/>
        </w:rPr>
        <w:t>貴公司及指定之配合旅行社應遵守保密原則，勿將本公司之專案內容以任何形式洩漏或提供給任何第三者，若經查洩漏情事屬實，本公司有權隨時終止本專案內容。</w:t>
      </w:r>
    </w:p>
    <w:p w:rsidR="002E379C" w:rsidRPr="002E379C" w:rsidRDefault="002E379C" w:rsidP="002E379C">
      <w:pPr>
        <w:numPr>
          <w:ilvl w:val="0"/>
          <w:numId w:val="1"/>
        </w:numPr>
        <w:spacing w:line="0" w:lineRule="atLeast"/>
        <w:jc w:val="both"/>
        <w:rPr>
          <w:rFonts w:ascii="標楷體" w:eastAsia="標楷體" w:hAnsi="標楷體" w:cs="Times New Roman" w:hint="eastAsia"/>
          <w:sz w:val="28"/>
          <w:szCs w:val="28"/>
        </w:rPr>
      </w:pPr>
      <w:r w:rsidRPr="002E379C">
        <w:rPr>
          <w:rFonts w:ascii="標楷體" w:eastAsia="標楷體" w:hAnsi="標楷體" w:cs="Times New Roman" w:hint="eastAsia"/>
          <w:sz w:val="28"/>
          <w:szCs w:val="28"/>
        </w:rPr>
        <w:t>本專案終止或調整將另以書面通知。</w:t>
      </w:r>
    </w:p>
    <w:p w:rsidR="002E379C" w:rsidRPr="002E379C" w:rsidRDefault="002E379C" w:rsidP="002E379C">
      <w:pPr>
        <w:numPr>
          <w:ilvl w:val="0"/>
          <w:numId w:val="1"/>
        </w:numPr>
        <w:spacing w:line="0" w:lineRule="atLeast"/>
        <w:jc w:val="both"/>
        <w:rPr>
          <w:rFonts w:ascii="標楷體" w:eastAsia="標楷體" w:hAnsi="標楷體" w:cs="Times New Roman" w:hint="eastAsia"/>
          <w:sz w:val="28"/>
          <w:szCs w:val="28"/>
        </w:rPr>
      </w:pPr>
      <w:r w:rsidRPr="002E379C">
        <w:rPr>
          <w:rFonts w:ascii="標楷體" w:eastAsia="標楷體" w:hAnsi="標楷體" w:cs="Times New Roman" w:hint="eastAsia"/>
          <w:sz w:val="28"/>
          <w:szCs w:val="28"/>
        </w:rPr>
        <w:t>長榮航空保留本專案內容異動之權利。</w:t>
      </w:r>
    </w:p>
    <w:p w:rsidR="002E379C" w:rsidRPr="002E379C" w:rsidRDefault="002E379C" w:rsidP="00741C53"/>
    <w:p w:rsidR="002E379C" w:rsidRDefault="002E379C" w:rsidP="002E379C">
      <w:pPr>
        <w:snapToGrid w:val="0"/>
        <w:spacing w:beforeLines="50" w:before="180" w:afterLines="50" w:after="180"/>
        <w:jc w:val="center"/>
        <w:rPr>
          <w:rFonts w:ascii="標楷體" w:eastAsia="標楷體" w:hAnsi="標楷體" w:cs="Times New Roman"/>
          <w:color w:val="000000"/>
          <w:szCs w:val="24"/>
        </w:rPr>
      </w:pPr>
    </w:p>
    <w:p w:rsidR="002E379C" w:rsidRDefault="002E379C" w:rsidP="002E379C">
      <w:pPr>
        <w:snapToGrid w:val="0"/>
        <w:spacing w:beforeLines="50" w:before="180" w:afterLines="50" w:after="180"/>
        <w:jc w:val="center"/>
        <w:rPr>
          <w:rFonts w:ascii="標楷體" w:eastAsia="標楷體" w:hAnsi="標楷體" w:cs="Times New Roman"/>
          <w:color w:val="000000"/>
          <w:szCs w:val="24"/>
        </w:rPr>
      </w:pPr>
    </w:p>
    <w:p w:rsidR="00BD416D" w:rsidRDefault="00BD416D" w:rsidP="002E379C">
      <w:pPr>
        <w:snapToGrid w:val="0"/>
        <w:spacing w:beforeLines="50" w:before="180" w:afterLines="50" w:after="180"/>
        <w:jc w:val="center"/>
        <w:rPr>
          <w:rFonts w:ascii="標楷體" w:eastAsia="標楷體" w:hAnsi="標楷體" w:cs="Times New Roman"/>
          <w:color w:val="000000"/>
          <w:szCs w:val="24"/>
        </w:rPr>
      </w:pPr>
    </w:p>
    <w:p w:rsidR="00BD416D" w:rsidRDefault="00BD416D" w:rsidP="002E379C">
      <w:pPr>
        <w:snapToGrid w:val="0"/>
        <w:spacing w:beforeLines="50" w:before="180" w:afterLines="50" w:after="180"/>
        <w:jc w:val="center"/>
        <w:rPr>
          <w:rFonts w:ascii="標楷體" w:eastAsia="標楷體" w:hAnsi="標楷體" w:cs="Times New Roman"/>
          <w:color w:val="000000"/>
          <w:szCs w:val="24"/>
        </w:rPr>
      </w:pPr>
    </w:p>
    <w:p w:rsidR="00BD416D" w:rsidRDefault="00BD416D" w:rsidP="002E379C">
      <w:pPr>
        <w:snapToGrid w:val="0"/>
        <w:spacing w:beforeLines="50" w:before="180" w:afterLines="50" w:after="180"/>
        <w:jc w:val="center"/>
        <w:rPr>
          <w:rFonts w:ascii="標楷體" w:eastAsia="標楷體" w:hAnsi="標楷體" w:cs="Times New Roman"/>
          <w:color w:val="000000"/>
          <w:szCs w:val="24"/>
        </w:rPr>
      </w:pPr>
    </w:p>
    <w:p w:rsidR="00BD416D" w:rsidRDefault="00BD416D" w:rsidP="002E379C">
      <w:pPr>
        <w:snapToGrid w:val="0"/>
        <w:spacing w:beforeLines="50" w:before="180" w:afterLines="50" w:after="180"/>
        <w:jc w:val="center"/>
        <w:rPr>
          <w:rFonts w:ascii="標楷體" w:eastAsia="標楷體" w:hAnsi="標楷體" w:cs="Times New Roman"/>
          <w:color w:val="000000"/>
          <w:szCs w:val="24"/>
        </w:rPr>
      </w:pPr>
    </w:p>
    <w:p w:rsidR="00BD416D" w:rsidRDefault="00BD416D" w:rsidP="002E379C">
      <w:pPr>
        <w:snapToGrid w:val="0"/>
        <w:spacing w:beforeLines="50" w:before="180" w:afterLines="50" w:after="180"/>
        <w:jc w:val="center"/>
        <w:rPr>
          <w:rFonts w:ascii="標楷體" w:eastAsia="標楷體" w:hAnsi="標楷體" w:cs="Times New Roman"/>
          <w:color w:val="000000"/>
          <w:szCs w:val="24"/>
        </w:rPr>
      </w:pPr>
    </w:p>
    <w:p w:rsidR="00BD416D" w:rsidRDefault="00BD416D" w:rsidP="002E379C">
      <w:pPr>
        <w:snapToGrid w:val="0"/>
        <w:spacing w:beforeLines="50" w:before="180" w:afterLines="50" w:after="180"/>
        <w:jc w:val="center"/>
        <w:rPr>
          <w:rFonts w:ascii="標楷體" w:eastAsia="標楷體" w:hAnsi="標楷體" w:cs="Times New Roman"/>
          <w:color w:val="000000"/>
          <w:szCs w:val="24"/>
        </w:rPr>
      </w:pPr>
    </w:p>
    <w:p w:rsidR="00BD416D" w:rsidRDefault="00BD416D" w:rsidP="002E379C">
      <w:pPr>
        <w:snapToGrid w:val="0"/>
        <w:spacing w:beforeLines="50" w:before="180" w:afterLines="50" w:after="180"/>
        <w:jc w:val="center"/>
        <w:rPr>
          <w:rFonts w:ascii="標楷體" w:eastAsia="標楷體" w:hAnsi="標楷體" w:cs="Times New Roman"/>
          <w:color w:val="000000"/>
          <w:szCs w:val="24"/>
        </w:rPr>
      </w:pPr>
    </w:p>
    <w:p w:rsidR="00BD416D" w:rsidRDefault="00BD416D" w:rsidP="002E379C">
      <w:pPr>
        <w:snapToGrid w:val="0"/>
        <w:spacing w:beforeLines="50" w:before="180" w:afterLines="50" w:after="180"/>
        <w:jc w:val="center"/>
        <w:rPr>
          <w:rFonts w:ascii="標楷體" w:eastAsia="標楷體" w:hAnsi="標楷體" w:cs="Times New Roman"/>
          <w:color w:val="000000"/>
          <w:szCs w:val="24"/>
        </w:rPr>
      </w:pPr>
    </w:p>
    <w:p w:rsidR="00BD416D" w:rsidRDefault="00BD416D" w:rsidP="002E379C">
      <w:pPr>
        <w:snapToGrid w:val="0"/>
        <w:spacing w:beforeLines="50" w:before="180" w:afterLines="50" w:after="180"/>
        <w:jc w:val="center"/>
        <w:rPr>
          <w:rFonts w:ascii="標楷體" w:eastAsia="標楷體" w:hAnsi="標楷體" w:cs="Times New Roman"/>
          <w:color w:val="000000"/>
          <w:szCs w:val="24"/>
        </w:rPr>
      </w:pPr>
    </w:p>
    <w:p w:rsidR="00BD416D" w:rsidRDefault="00BD416D" w:rsidP="002E379C">
      <w:pPr>
        <w:snapToGrid w:val="0"/>
        <w:spacing w:beforeLines="50" w:before="180" w:afterLines="50" w:after="180"/>
        <w:jc w:val="center"/>
        <w:rPr>
          <w:rFonts w:ascii="標楷體" w:eastAsia="標楷體" w:hAnsi="標楷體" w:cs="Times New Roman" w:hint="eastAsia"/>
          <w:color w:val="000000"/>
          <w:szCs w:val="24"/>
        </w:rPr>
      </w:pPr>
    </w:p>
    <w:p w:rsidR="002E379C" w:rsidRPr="002E379C" w:rsidRDefault="002E379C" w:rsidP="002E379C">
      <w:pPr>
        <w:snapToGrid w:val="0"/>
        <w:spacing w:beforeLines="50" w:before="180" w:afterLines="50" w:after="180"/>
        <w:jc w:val="center"/>
        <w:rPr>
          <w:rFonts w:ascii="標楷體" w:eastAsia="標楷體" w:hAnsi="標楷體" w:cs="Times New Roman" w:hint="eastAsia"/>
          <w:color w:val="000000"/>
          <w:szCs w:val="24"/>
        </w:rPr>
      </w:pPr>
      <w:r w:rsidRPr="002E379C">
        <w:rPr>
          <w:rFonts w:ascii="標楷體" w:eastAsia="標楷體" w:hAnsi="標楷體" w:cs="Times New Roman" w:hint="eastAsia"/>
          <w:color w:val="000000"/>
          <w:szCs w:val="24"/>
        </w:rPr>
        <w:lastRenderedPageBreak/>
        <w:t>長榮航空企業會員指定旅行社訂位／票務操作辦法</w:t>
      </w:r>
    </w:p>
    <w:p w:rsidR="002E379C" w:rsidRPr="002E379C" w:rsidRDefault="002E379C" w:rsidP="002E379C">
      <w:pPr>
        <w:snapToGrid w:val="0"/>
        <w:spacing w:beforeLines="50" w:before="180" w:afterLines="50" w:after="180"/>
        <w:jc w:val="center"/>
        <w:rPr>
          <w:rFonts w:ascii="標楷體" w:eastAsia="標楷體" w:hAnsi="標楷體" w:cs="Times New Roman" w:hint="eastAsia"/>
          <w:b/>
          <w:color w:val="000000"/>
          <w:szCs w:val="24"/>
        </w:rPr>
      </w:pPr>
    </w:p>
    <w:p w:rsidR="002E379C" w:rsidRPr="002E379C" w:rsidRDefault="002E379C" w:rsidP="002E379C">
      <w:pPr>
        <w:snapToGrid w:val="0"/>
        <w:spacing w:beforeLines="50" w:before="180" w:afterLines="50" w:after="180"/>
        <w:rPr>
          <w:rFonts w:ascii="標楷體" w:eastAsia="標楷體" w:hAnsi="標楷體" w:cs="Times New Roman" w:hint="eastAsia"/>
          <w:color w:val="000000"/>
          <w:szCs w:val="24"/>
        </w:rPr>
      </w:pPr>
      <w:r w:rsidRPr="002E379C">
        <w:rPr>
          <w:rFonts w:ascii="標楷體" w:eastAsia="標楷體" w:hAnsi="標楷體" w:cs="Times New Roman" w:hint="eastAsia"/>
          <w:b/>
          <w:color w:val="000000"/>
          <w:szCs w:val="24"/>
          <w:u w:val="single"/>
        </w:rPr>
        <w:t>國立東華大學</w:t>
      </w:r>
      <w:r w:rsidRPr="002E379C">
        <w:rPr>
          <w:rFonts w:ascii="標楷體" w:eastAsia="標楷體" w:hAnsi="標楷體" w:cs="Times New Roman" w:hint="eastAsia"/>
          <w:color w:val="000000"/>
          <w:szCs w:val="24"/>
        </w:rPr>
        <w:t>為長榮航空之企業會員，商務代碼為</w:t>
      </w:r>
      <w:r w:rsidRPr="002E379C">
        <w:rPr>
          <w:rFonts w:ascii="標楷體" w:eastAsia="標楷體" w:hAnsi="標楷體" w:cs="Times New Roman"/>
          <w:b/>
          <w:color w:val="000000"/>
          <w:szCs w:val="24"/>
          <w:u w:val="single"/>
        </w:rPr>
        <w:t>TPE3842</w:t>
      </w:r>
      <w:r w:rsidRPr="002E379C">
        <w:rPr>
          <w:rFonts w:ascii="標楷體" w:eastAsia="標楷體" w:hAnsi="標楷體" w:cs="Times New Roman" w:hint="eastAsia"/>
          <w:color w:val="000000"/>
          <w:szCs w:val="24"/>
        </w:rPr>
        <w:t>，為確實累計該公司之機票開票金額以確保其相關優惠辦法之權益，請  貴旅行社務必熟悉此操作辦法，於訂位及開票時配合執行相關註記。反之，若非  功學社教育用品股份有限公司所開立之機票，請勿濫用該公司商務代碼，如查獲濫用屬實，將通報該公司逕行取消先前所累計之不當開票金額。本優惠資料具有機密性，不得以任何形式洩漏或提供給任何第三者。</w:t>
      </w:r>
    </w:p>
    <w:p w:rsidR="002E379C" w:rsidRPr="002E379C" w:rsidRDefault="002E379C" w:rsidP="002E379C">
      <w:pPr>
        <w:snapToGrid w:val="0"/>
        <w:spacing w:beforeLines="50" w:before="180" w:afterLines="50" w:after="180"/>
        <w:rPr>
          <w:rFonts w:ascii="標楷體" w:eastAsia="標楷體" w:hAnsi="標楷體" w:cs="Times New Roman" w:hint="eastAsia"/>
          <w:color w:val="000000"/>
          <w:szCs w:val="24"/>
        </w:rPr>
      </w:pPr>
      <w:r w:rsidRPr="002E379C">
        <w:rPr>
          <w:rFonts w:ascii="標楷體" w:eastAsia="標楷體" w:hAnsi="標楷體" w:cs="Times New Roman" w:hint="eastAsia"/>
          <w:color w:val="000000"/>
          <w:szCs w:val="24"/>
        </w:rPr>
        <w:t>訂位／票務特別註記</w:t>
      </w:r>
    </w:p>
    <w:p w:rsidR="002E379C" w:rsidRPr="002E379C" w:rsidRDefault="002E379C" w:rsidP="002E379C">
      <w:pPr>
        <w:snapToGrid w:val="0"/>
        <w:spacing w:beforeLines="50" w:before="180" w:afterLines="50" w:after="180"/>
        <w:ind w:left="360" w:hangingChars="150" w:hanging="360"/>
        <w:rPr>
          <w:rFonts w:ascii="標楷體" w:eastAsia="標楷體" w:hAnsi="標楷體" w:cs="Times New Roman"/>
          <w:color w:val="000000"/>
          <w:szCs w:val="24"/>
        </w:rPr>
      </w:pPr>
      <w:r w:rsidRPr="002E379C">
        <w:rPr>
          <w:rFonts w:ascii="標楷體" w:eastAsia="標楷體" w:hAnsi="標楷體" w:cs="Times New Roman"/>
          <w:color w:val="000000"/>
          <w:szCs w:val="24"/>
        </w:rPr>
        <w:t>1.</w:t>
      </w:r>
      <w:r w:rsidRPr="002E379C">
        <w:rPr>
          <w:rFonts w:ascii="標楷體" w:eastAsia="標楷體" w:hAnsi="標楷體" w:cs="Times New Roman" w:hint="eastAsia"/>
          <w:color w:val="000000"/>
          <w:szCs w:val="24"/>
        </w:rPr>
        <w:t>企業戶所開立之長榮/立榮航空國際機票，惟團體機票、折扣票、免費機票除外，並限台灣開立且第一段由台灣出發(大陸直航包機除外)之機票。</w:t>
      </w:r>
      <w:r w:rsidRPr="002E379C">
        <w:rPr>
          <w:rFonts w:ascii="標楷體" w:eastAsia="標楷體" w:hAnsi="標楷體" w:cs="Times New Roman"/>
          <w:color w:val="000000"/>
          <w:szCs w:val="24"/>
        </w:rPr>
        <w:t xml:space="preserve"> </w:t>
      </w:r>
    </w:p>
    <w:p w:rsidR="002E379C" w:rsidRPr="002E379C" w:rsidRDefault="002E379C" w:rsidP="002E379C">
      <w:pPr>
        <w:snapToGrid w:val="0"/>
        <w:spacing w:beforeLines="50" w:before="180" w:afterLines="50" w:after="180"/>
        <w:ind w:left="360" w:hangingChars="150" w:hanging="360"/>
        <w:rPr>
          <w:rFonts w:ascii="標楷體" w:eastAsia="標楷體" w:hAnsi="標楷體" w:cs="Times New Roman" w:hint="eastAsia"/>
          <w:color w:val="000000"/>
          <w:szCs w:val="24"/>
        </w:rPr>
      </w:pPr>
      <w:r w:rsidRPr="002E379C">
        <w:rPr>
          <w:rFonts w:ascii="標楷體" w:eastAsia="標楷體" w:hAnsi="標楷體" w:cs="Times New Roman"/>
          <w:color w:val="000000"/>
          <w:szCs w:val="24"/>
        </w:rPr>
        <w:t>2.</w:t>
      </w:r>
      <w:r w:rsidRPr="002E379C">
        <w:rPr>
          <w:rFonts w:ascii="標楷體" w:eastAsia="標楷體" w:hAnsi="標楷體" w:cs="Times New Roman" w:hint="eastAsia"/>
          <w:color w:val="000000"/>
          <w:szCs w:val="24"/>
        </w:rPr>
        <w:t xml:space="preserve"> 訂位時須於訂位紀錄OSI項目內註明訂位商務代碼CFFP</w:t>
      </w:r>
      <w:r w:rsidRPr="002E379C">
        <w:rPr>
          <w:rFonts w:ascii="標楷體" w:eastAsia="標楷體" w:hAnsi="標楷體" w:cs="Times New Roman"/>
          <w:color w:val="000000"/>
          <w:szCs w:val="24"/>
        </w:rPr>
        <w:t>TPE3842</w:t>
      </w:r>
      <w:r w:rsidRPr="002E379C">
        <w:rPr>
          <w:rFonts w:ascii="標楷體" w:eastAsia="標楷體" w:hAnsi="標楷體" w:cs="Times New Roman" w:hint="eastAsia"/>
          <w:color w:val="000000"/>
          <w:szCs w:val="24"/>
        </w:rPr>
        <w:t>(中間無空格)，各系統指令如下：</w:t>
      </w:r>
    </w:p>
    <w:p w:rsidR="002E379C" w:rsidRPr="002E379C" w:rsidRDefault="002E379C" w:rsidP="002E379C">
      <w:pPr>
        <w:snapToGrid w:val="0"/>
        <w:spacing w:beforeLines="50" w:before="180" w:afterLines="50" w:after="180"/>
        <w:ind w:leftChars="150" w:left="360"/>
        <w:rPr>
          <w:rFonts w:ascii="標楷體" w:eastAsia="標楷體" w:hAnsi="標楷體" w:cs="Times New Roman" w:hint="eastAsia"/>
          <w:color w:val="000000"/>
          <w:szCs w:val="24"/>
        </w:rPr>
      </w:pPr>
      <w:r w:rsidRPr="002E379C">
        <w:rPr>
          <w:rFonts w:ascii="標楷體" w:eastAsia="標楷體" w:hAnsi="標楷體" w:cs="Times New Roman" w:hint="eastAsia"/>
          <w:color w:val="000000"/>
          <w:szCs w:val="24"/>
        </w:rPr>
        <w:t>【ABACUS】指令：3OSI BR CFFP</w:t>
      </w:r>
      <w:r w:rsidRPr="002E379C">
        <w:rPr>
          <w:rFonts w:ascii="標楷體" w:eastAsia="標楷體" w:hAnsi="標楷體" w:cs="Times New Roman"/>
          <w:color w:val="000000"/>
          <w:szCs w:val="24"/>
        </w:rPr>
        <w:t>TPE3842</w:t>
      </w:r>
    </w:p>
    <w:p w:rsidR="002E379C" w:rsidRPr="002E379C" w:rsidRDefault="002E379C" w:rsidP="002E379C">
      <w:pPr>
        <w:snapToGrid w:val="0"/>
        <w:spacing w:beforeLines="50" w:before="180" w:afterLines="50" w:after="180"/>
        <w:ind w:leftChars="150" w:left="360"/>
        <w:rPr>
          <w:rFonts w:ascii="標楷體" w:eastAsia="標楷體" w:hAnsi="標楷體" w:cs="Times New Roman" w:hint="eastAsia"/>
          <w:color w:val="000000"/>
          <w:szCs w:val="24"/>
        </w:rPr>
      </w:pPr>
      <w:r w:rsidRPr="002E379C">
        <w:rPr>
          <w:rFonts w:ascii="標楷體" w:eastAsia="標楷體" w:hAnsi="標楷體" w:cs="Times New Roman" w:hint="eastAsia"/>
          <w:color w:val="000000"/>
          <w:szCs w:val="24"/>
        </w:rPr>
        <w:t>【AMADEUS】指令：OS BR CFFP</w:t>
      </w:r>
      <w:r w:rsidRPr="002E379C">
        <w:rPr>
          <w:rFonts w:ascii="標楷體" w:eastAsia="標楷體" w:hAnsi="標楷體" w:cs="Times New Roman"/>
          <w:color w:val="000000"/>
          <w:szCs w:val="24"/>
        </w:rPr>
        <w:t>TPE3842</w:t>
      </w:r>
    </w:p>
    <w:p w:rsidR="002E379C" w:rsidRPr="002E379C" w:rsidRDefault="002E379C" w:rsidP="002E379C">
      <w:pPr>
        <w:snapToGrid w:val="0"/>
        <w:spacing w:beforeLines="50" w:before="180" w:afterLines="50" w:after="180"/>
        <w:ind w:leftChars="150" w:left="360"/>
        <w:rPr>
          <w:rFonts w:ascii="標楷體" w:eastAsia="標楷體" w:hAnsi="標楷體" w:cs="Times New Roman" w:hint="eastAsia"/>
          <w:color w:val="000000"/>
          <w:szCs w:val="24"/>
        </w:rPr>
      </w:pPr>
      <w:r w:rsidRPr="002E379C">
        <w:rPr>
          <w:rFonts w:ascii="標楷體" w:eastAsia="標楷體" w:hAnsi="標楷體" w:cs="Times New Roman" w:hint="eastAsia"/>
          <w:color w:val="000000"/>
          <w:szCs w:val="24"/>
        </w:rPr>
        <w:t>【GALILEO】指令：SI.BR*CFFP</w:t>
      </w:r>
      <w:r w:rsidRPr="002E379C">
        <w:rPr>
          <w:rFonts w:ascii="標楷體" w:eastAsia="標楷體" w:hAnsi="標楷體" w:cs="Times New Roman"/>
          <w:color w:val="000000"/>
          <w:szCs w:val="24"/>
        </w:rPr>
        <w:t>TPE3842</w:t>
      </w:r>
    </w:p>
    <w:p w:rsidR="002E379C" w:rsidRPr="002E379C" w:rsidRDefault="002E379C" w:rsidP="002E379C">
      <w:pPr>
        <w:snapToGrid w:val="0"/>
        <w:spacing w:beforeLines="50" w:before="180" w:afterLines="50" w:after="180"/>
        <w:ind w:left="360" w:hangingChars="150" w:hanging="360"/>
        <w:rPr>
          <w:rFonts w:ascii="標楷體" w:eastAsia="標楷體" w:hAnsi="標楷體" w:cs="Times New Roman" w:hint="eastAsia"/>
          <w:color w:val="000000"/>
          <w:szCs w:val="24"/>
        </w:rPr>
      </w:pPr>
      <w:r w:rsidRPr="002E379C">
        <w:rPr>
          <w:rFonts w:ascii="標楷體" w:eastAsia="標楷體" w:hAnsi="標楷體" w:cs="Times New Roman"/>
          <w:color w:val="000000"/>
          <w:szCs w:val="24"/>
        </w:rPr>
        <w:t>3.</w:t>
      </w:r>
      <w:r w:rsidRPr="002E379C">
        <w:rPr>
          <w:rFonts w:ascii="標楷體" w:eastAsia="標楷體" w:hAnsi="標楷體" w:cs="Times New Roman" w:hint="eastAsia"/>
          <w:color w:val="000000"/>
          <w:szCs w:val="24"/>
        </w:rPr>
        <w:t xml:space="preserve"> 機票開立時於機票Form of Payment欄位內註明商務代碼</w:t>
      </w:r>
      <w:r w:rsidRPr="002E379C">
        <w:rPr>
          <w:rFonts w:ascii="標楷體" w:eastAsia="標楷體" w:hAnsi="標楷體" w:cs="Times New Roman"/>
          <w:color w:val="000000"/>
          <w:szCs w:val="24"/>
        </w:rPr>
        <w:t>TPE3842</w:t>
      </w:r>
      <w:r w:rsidRPr="002E379C">
        <w:rPr>
          <w:rFonts w:ascii="標楷體" w:eastAsia="標楷體" w:hAnsi="標楷體" w:cs="Times New Roman" w:hint="eastAsia"/>
          <w:color w:val="000000"/>
          <w:szCs w:val="24"/>
        </w:rPr>
        <w:t>，各系統指令如下：</w:t>
      </w:r>
    </w:p>
    <w:p w:rsidR="002E379C" w:rsidRPr="002E379C" w:rsidRDefault="002E379C" w:rsidP="002E379C">
      <w:pPr>
        <w:snapToGrid w:val="0"/>
        <w:spacing w:beforeLines="50" w:before="180" w:afterLines="50" w:after="180"/>
        <w:ind w:leftChars="150" w:left="360" w:firstLineChars="7" w:firstLine="17"/>
        <w:rPr>
          <w:rFonts w:ascii="標楷體" w:eastAsia="標楷體" w:hAnsi="標楷體" w:cs="Times New Roman" w:hint="eastAsia"/>
          <w:color w:val="000000"/>
          <w:szCs w:val="24"/>
        </w:rPr>
      </w:pPr>
      <w:r w:rsidRPr="002E379C">
        <w:rPr>
          <w:rFonts w:ascii="標楷體" w:eastAsia="標楷體" w:hAnsi="標楷體" w:cs="Times New Roman" w:hint="eastAsia"/>
          <w:color w:val="000000"/>
          <w:szCs w:val="24"/>
        </w:rPr>
        <w:t>【ABACUS】指令FINV</w:t>
      </w:r>
      <w:r w:rsidRPr="002E379C">
        <w:rPr>
          <w:rFonts w:ascii="標楷體" w:eastAsia="標楷體" w:hAnsi="標楷體" w:cs="Times New Roman"/>
          <w:color w:val="000000"/>
          <w:szCs w:val="24"/>
        </w:rPr>
        <w:t>TPE3842</w:t>
      </w:r>
      <w:r w:rsidRPr="002E379C">
        <w:rPr>
          <w:rFonts w:ascii="標楷體" w:eastAsia="標楷體" w:hAnsi="標楷體" w:cs="Times New Roman" w:hint="eastAsia"/>
          <w:color w:val="000000"/>
          <w:szCs w:val="24"/>
        </w:rPr>
        <w:t>或FAGT</w:t>
      </w:r>
      <w:r w:rsidRPr="002E379C">
        <w:rPr>
          <w:rFonts w:ascii="標楷體" w:eastAsia="標楷體" w:hAnsi="標楷體" w:cs="Times New Roman"/>
          <w:color w:val="000000"/>
          <w:szCs w:val="24"/>
        </w:rPr>
        <w:t>TPE3842</w:t>
      </w:r>
    </w:p>
    <w:p w:rsidR="002E379C" w:rsidRPr="002E379C" w:rsidRDefault="002E379C" w:rsidP="002E379C">
      <w:pPr>
        <w:snapToGrid w:val="0"/>
        <w:spacing w:beforeLines="50" w:before="180" w:afterLines="50" w:after="180"/>
        <w:ind w:leftChars="150" w:left="360" w:firstLineChars="7" w:firstLine="17"/>
        <w:rPr>
          <w:rFonts w:ascii="標楷體" w:eastAsia="標楷體" w:hAnsi="標楷體" w:cs="Times New Roman" w:hint="eastAsia"/>
          <w:color w:val="000000"/>
          <w:szCs w:val="24"/>
        </w:rPr>
      </w:pPr>
      <w:r w:rsidRPr="002E379C">
        <w:rPr>
          <w:rFonts w:ascii="標楷體" w:eastAsia="標楷體" w:hAnsi="標楷體" w:cs="Times New Roman" w:hint="eastAsia"/>
          <w:color w:val="000000"/>
          <w:szCs w:val="24"/>
        </w:rPr>
        <w:t>【AMADEUS】指令：NR+INV.</w:t>
      </w:r>
      <w:r w:rsidRPr="002E379C">
        <w:rPr>
          <w:rFonts w:ascii="標楷體" w:eastAsia="標楷體" w:hAnsi="標楷體" w:cs="Times New Roman"/>
          <w:color w:val="000000"/>
          <w:szCs w:val="24"/>
        </w:rPr>
        <w:t>TPE3842</w:t>
      </w:r>
      <w:r w:rsidRPr="002E379C">
        <w:rPr>
          <w:rFonts w:ascii="標楷體" w:eastAsia="標楷體" w:hAnsi="標楷體" w:cs="Times New Roman" w:hint="eastAsia"/>
          <w:color w:val="000000"/>
          <w:szCs w:val="24"/>
        </w:rPr>
        <w:t>/0或NR+AGT.</w:t>
      </w:r>
      <w:r w:rsidRPr="002E379C">
        <w:rPr>
          <w:rFonts w:ascii="標楷體" w:eastAsia="標楷體" w:hAnsi="標楷體" w:cs="Times New Roman"/>
          <w:color w:val="000000"/>
          <w:szCs w:val="24"/>
        </w:rPr>
        <w:t>TPE3842</w:t>
      </w:r>
      <w:r w:rsidRPr="002E379C">
        <w:rPr>
          <w:rFonts w:ascii="標楷體" w:eastAsia="標楷體" w:hAnsi="標楷體" w:cs="Times New Roman" w:hint="eastAsia"/>
          <w:color w:val="000000"/>
          <w:szCs w:val="24"/>
        </w:rPr>
        <w:t>/0</w:t>
      </w:r>
    </w:p>
    <w:p w:rsidR="002E379C" w:rsidRPr="002E379C" w:rsidRDefault="002E379C" w:rsidP="002E379C">
      <w:pPr>
        <w:snapToGrid w:val="0"/>
        <w:spacing w:beforeLines="50" w:before="180" w:afterLines="50" w:after="180"/>
        <w:ind w:leftChars="150" w:left="360" w:firstLineChars="7" w:firstLine="17"/>
        <w:rPr>
          <w:rFonts w:ascii="標楷體" w:eastAsia="標楷體" w:hAnsi="標楷體" w:cs="Times New Roman" w:hint="eastAsia"/>
          <w:color w:val="000000"/>
          <w:szCs w:val="24"/>
        </w:rPr>
      </w:pPr>
      <w:r w:rsidRPr="002E379C">
        <w:rPr>
          <w:rFonts w:ascii="標楷體" w:eastAsia="標楷體" w:hAnsi="標楷體" w:cs="Times New Roman" w:hint="eastAsia"/>
          <w:color w:val="000000"/>
          <w:szCs w:val="24"/>
        </w:rPr>
        <w:t>【GALILEO】指令：TMU</w:t>
      </w:r>
      <w:smartTag w:uri="urn:schemas-microsoft-com:office:smarttags" w:element="chmetcnv">
        <w:smartTagPr>
          <w:attr w:name="TCSC" w:val="0"/>
          <w:attr w:name="NumberType" w:val="1"/>
          <w:attr w:name="Negative" w:val="False"/>
          <w:attr w:name="HasSpace" w:val="False"/>
          <w:attr w:name="SourceValue" w:val="1"/>
          <w:attr w:name="UnitName" w:val="F"/>
        </w:smartTagPr>
        <w:r w:rsidRPr="002E379C">
          <w:rPr>
            <w:rFonts w:ascii="標楷體" w:eastAsia="標楷體" w:hAnsi="標楷體" w:cs="Times New Roman" w:hint="eastAsia"/>
            <w:color w:val="000000"/>
            <w:szCs w:val="24"/>
          </w:rPr>
          <w:t>1F</w:t>
        </w:r>
      </w:smartTag>
      <w:r w:rsidRPr="002E379C">
        <w:rPr>
          <w:rFonts w:ascii="標楷體" w:eastAsia="標楷體" w:hAnsi="標楷體" w:cs="Times New Roman" w:hint="eastAsia"/>
          <w:color w:val="000000"/>
          <w:szCs w:val="24"/>
        </w:rPr>
        <w:t>MS</w:t>
      </w:r>
      <w:r w:rsidRPr="002E379C">
        <w:rPr>
          <w:rFonts w:ascii="標楷體" w:eastAsia="標楷體" w:hAnsi="標楷體" w:cs="Times New Roman"/>
          <w:color w:val="000000"/>
          <w:szCs w:val="24"/>
        </w:rPr>
        <w:t>TPE3842</w:t>
      </w:r>
    </w:p>
    <w:p w:rsidR="002E379C" w:rsidRPr="002E379C" w:rsidRDefault="002E379C" w:rsidP="002E379C">
      <w:pPr>
        <w:snapToGrid w:val="0"/>
        <w:spacing w:beforeLines="50" w:before="180" w:afterLines="50" w:after="180"/>
        <w:ind w:left="360" w:hangingChars="150" w:hanging="360"/>
        <w:rPr>
          <w:rFonts w:ascii="標楷體" w:eastAsia="標楷體" w:hAnsi="標楷體" w:cs="Times New Roman" w:hint="eastAsia"/>
          <w:color w:val="000000"/>
          <w:szCs w:val="24"/>
        </w:rPr>
      </w:pPr>
      <w:r w:rsidRPr="002E379C">
        <w:rPr>
          <w:rFonts w:ascii="標楷體" w:eastAsia="標楷體" w:hAnsi="標楷體" w:cs="Times New Roman"/>
          <w:color w:val="000000"/>
          <w:szCs w:val="24"/>
        </w:rPr>
        <w:t>4.</w:t>
      </w:r>
      <w:r w:rsidRPr="002E379C">
        <w:rPr>
          <w:rFonts w:ascii="標楷體" w:eastAsia="標楷體" w:hAnsi="標楷體" w:cs="Times New Roman" w:hint="eastAsia"/>
          <w:color w:val="000000"/>
          <w:szCs w:val="24"/>
        </w:rPr>
        <w:t xml:space="preserve"> 請注意！若未鍵入商務代碼或商務代碼鍵入錯誤欄位之機票，其機票金額不予累計，亦無法於事後補登。</w:t>
      </w:r>
    </w:p>
    <w:p w:rsidR="002E379C" w:rsidRPr="002E379C" w:rsidRDefault="002E379C" w:rsidP="002E379C">
      <w:pPr>
        <w:snapToGrid w:val="0"/>
        <w:spacing w:beforeLines="50" w:before="180" w:afterLines="50" w:after="180"/>
        <w:ind w:left="360" w:hangingChars="150" w:hanging="360"/>
        <w:rPr>
          <w:rFonts w:ascii="標楷體" w:eastAsia="標楷體" w:hAnsi="標楷體" w:cs="Times New Roman" w:hint="eastAsia"/>
          <w:color w:val="000000"/>
          <w:szCs w:val="24"/>
        </w:rPr>
      </w:pPr>
      <w:r w:rsidRPr="002E379C">
        <w:rPr>
          <w:rFonts w:ascii="標楷體" w:eastAsia="標楷體" w:hAnsi="標楷體" w:cs="Times New Roman"/>
          <w:color w:val="000000"/>
          <w:szCs w:val="24"/>
        </w:rPr>
        <w:t>5.</w:t>
      </w:r>
      <w:r w:rsidRPr="002E379C">
        <w:rPr>
          <w:rFonts w:ascii="標楷體" w:eastAsia="標楷體" w:hAnsi="標楷體" w:cs="Times New Roman" w:hint="eastAsia"/>
          <w:color w:val="000000"/>
          <w:szCs w:val="24"/>
        </w:rPr>
        <w:t xml:space="preserve"> 該公司所累計之機票金額將作為其回饋項目調整之依據。</w:t>
      </w:r>
    </w:p>
    <w:p w:rsidR="002E379C" w:rsidRPr="002E379C" w:rsidRDefault="002E379C" w:rsidP="002E379C">
      <w:pPr>
        <w:snapToGrid w:val="0"/>
        <w:spacing w:beforeLines="50" w:before="180" w:afterLines="50" w:after="180"/>
        <w:ind w:left="360" w:hangingChars="150" w:hanging="360"/>
        <w:rPr>
          <w:rFonts w:ascii="標楷體" w:eastAsia="標楷體" w:hAnsi="標楷體" w:cs="Times New Roman" w:hint="eastAsia"/>
          <w:color w:val="000000"/>
          <w:szCs w:val="24"/>
        </w:rPr>
      </w:pPr>
      <w:r w:rsidRPr="002E379C">
        <w:rPr>
          <w:rFonts w:ascii="標楷體" w:eastAsia="標楷體" w:hAnsi="標楷體" w:cs="Times New Roman"/>
          <w:color w:val="000000"/>
          <w:szCs w:val="24"/>
        </w:rPr>
        <w:t>6.</w:t>
      </w:r>
      <w:r w:rsidRPr="002E379C">
        <w:rPr>
          <w:rFonts w:ascii="標楷體" w:eastAsia="標楷體" w:hAnsi="標楷體" w:cs="Times New Roman" w:hint="eastAsia"/>
          <w:color w:val="000000"/>
          <w:szCs w:val="24"/>
        </w:rPr>
        <w:t xml:space="preserve"> 該公司每半年機票淨額累計達一定金額，即有機會獲得免費機票、升等券、等回饋。</w:t>
      </w:r>
    </w:p>
    <w:p w:rsidR="002E379C" w:rsidRPr="002E379C" w:rsidRDefault="002E379C" w:rsidP="00741C53">
      <w:pPr>
        <w:rPr>
          <w:rFonts w:hint="eastAsia"/>
        </w:rPr>
      </w:pPr>
    </w:p>
    <w:sectPr w:rsidR="002E379C" w:rsidRPr="002E379C" w:rsidSect="000724C6">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791" w:rsidRDefault="003A0791" w:rsidP="00DC5E79">
      <w:r>
        <w:separator/>
      </w:r>
    </w:p>
  </w:endnote>
  <w:endnote w:type="continuationSeparator" w:id="0">
    <w:p w:rsidR="003A0791" w:rsidRDefault="003A0791" w:rsidP="00DC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791" w:rsidRDefault="003A0791" w:rsidP="00DC5E79">
      <w:r>
        <w:separator/>
      </w:r>
    </w:p>
  </w:footnote>
  <w:footnote w:type="continuationSeparator" w:id="0">
    <w:p w:rsidR="003A0791" w:rsidRDefault="003A0791" w:rsidP="00DC5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426EA"/>
    <w:multiLevelType w:val="hybridMultilevel"/>
    <w:tmpl w:val="385C981A"/>
    <w:lvl w:ilvl="0" w:tplc="BD9C7B32">
      <w:start w:val="1"/>
      <w:numFmt w:val="taiwaneseCountingThousand"/>
      <w:lvlText w:val="%1、"/>
      <w:lvlJc w:val="left"/>
      <w:pPr>
        <w:tabs>
          <w:tab w:val="num" w:pos="720"/>
        </w:tabs>
        <w:ind w:left="720" w:hanging="720"/>
      </w:pPr>
      <w:rPr>
        <w:rFonts w:hint="default"/>
        <w:color w:val="000000"/>
      </w:rPr>
    </w:lvl>
    <w:lvl w:ilvl="1" w:tplc="4336F24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53"/>
    <w:rsid w:val="000724C6"/>
    <w:rsid w:val="002E379C"/>
    <w:rsid w:val="003A0791"/>
    <w:rsid w:val="006F4D0D"/>
    <w:rsid w:val="00741C53"/>
    <w:rsid w:val="007565CA"/>
    <w:rsid w:val="00AF6602"/>
    <w:rsid w:val="00B85B8A"/>
    <w:rsid w:val="00BD416D"/>
    <w:rsid w:val="00C25820"/>
    <w:rsid w:val="00DC5E79"/>
    <w:rsid w:val="00E230C9"/>
    <w:rsid w:val="00E42D3F"/>
    <w:rsid w:val="00FB767E"/>
    <w:rsid w:val="00FC45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E9F5BAD8-2AEA-44CD-89E2-5CD9251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5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E79"/>
    <w:pPr>
      <w:tabs>
        <w:tab w:val="center" w:pos="4153"/>
        <w:tab w:val="right" w:pos="8306"/>
      </w:tabs>
      <w:snapToGrid w:val="0"/>
    </w:pPr>
    <w:rPr>
      <w:sz w:val="20"/>
      <w:szCs w:val="20"/>
    </w:rPr>
  </w:style>
  <w:style w:type="character" w:customStyle="1" w:styleId="a4">
    <w:name w:val="頁首 字元"/>
    <w:basedOn w:val="a0"/>
    <w:link w:val="a3"/>
    <w:uiPriority w:val="99"/>
    <w:rsid w:val="00DC5E79"/>
    <w:rPr>
      <w:sz w:val="20"/>
      <w:szCs w:val="20"/>
    </w:rPr>
  </w:style>
  <w:style w:type="paragraph" w:styleId="a5">
    <w:name w:val="footer"/>
    <w:basedOn w:val="a"/>
    <w:link w:val="a6"/>
    <w:uiPriority w:val="99"/>
    <w:unhideWhenUsed/>
    <w:rsid w:val="00DC5E79"/>
    <w:pPr>
      <w:tabs>
        <w:tab w:val="center" w:pos="4153"/>
        <w:tab w:val="right" w:pos="8306"/>
      </w:tabs>
      <w:snapToGrid w:val="0"/>
    </w:pPr>
    <w:rPr>
      <w:sz w:val="20"/>
      <w:szCs w:val="20"/>
    </w:rPr>
  </w:style>
  <w:style w:type="character" w:customStyle="1" w:styleId="a6">
    <w:name w:val="頁尾 字元"/>
    <w:basedOn w:val="a0"/>
    <w:link w:val="a5"/>
    <w:uiPriority w:val="99"/>
    <w:rsid w:val="00DC5E79"/>
    <w:rPr>
      <w:sz w:val="20"/>
      <w:szCs w:val="20"/>
    </w:rPr>
  </w:style>
  <w:style w:type="paragraph" w:styleId="a7">
    <w:name w:val="Balloon Text"/>
    <w:basedOn w:val="a"/>
    <w:link w:val="a8"/>
    <w:uiPriority w:val="99"/>
    <w:semiHidden/>
    <w:unhideWhenUsed/>
    <w:rsid w:val="00E230C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230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橙色">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2017-04-20T07:20:00Z</cp:lastPrinted>
  <dcterms:created xsi:type="dcterms:W3CDTF">2017-04-18T02:29:00Z</dcterms:created>
  <dcterms:modified xsi:type="dcterms:W3CDTF">2017-04-20T07:20:00Z</dcterms:modified>
</cp:coreProperties>
</file>