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675" w:rsidRPr="00A62929" w:rsidRDefault="00966D55" w:rsidP="00CC6E07">
      <w:pPr>
        <w:jc w:val="center"/>
        <w:rPr>
          <w:rFonts w:ascii="Times New Roman" w:hAnsi="Times New Roman"/>
          <w:b/>
        </w:rPr>
      </w:pPr>
      <w:r>
        <w:rPr>
          <w:rFonts w:ascii="華康魏碑體 Std W7" w:eastAsia="華康魏碑體 Std W7" w:hAnsi="華康魏碑體 Std W7"/>
          <w:b/>
          <w:noProof/>
          <w:sz w:val="44"/>
          <w:szCs w:val="44"/>
        </w:rPr>
        <w:drawing>
          <wp:inline distT="0" distB="0" distL="0" distR="0">
            <wp:extent cx="2106930" cy="397510"/>
            <wp:effectExtent l="0" t="0" r="7620" b="2540"/>
            <wp:docPr id="2" name="圖片 2" descr="logo&amp;name-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ogo&amp;name-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930" cy="397510"/>
                    </a:xfrm>
                    <a:prstGeom prst="rect">
                      <a:avLst/>
                    </a:prstGeom>
                    <a:noFill/>
                    <a:ln>
                      <a:noFill/>
                    </a:ln>
                  </pic:spPr>
                </pic:pic>
              </a:graphicData>
            </a:graphic>
          </wp:inline>
        </w:drawing>
      </w:r>
    </w:p>
    <w:p w:rsidR="006B32BA" w:rsidRPr="00760605" w:rsidRDefault="00072F18" w:rsidP="00760605">
      <w:pPr>
        <w:spacing w:afterLines="50" w:after="180"/>
        <w:jc w:val="center"/>
        <w:rPr>
          <w:rFonts w:ascii="Times New Roman" w:eastAsia="標楷體" w:hAnsi="Times New Roman"/>
          <w:b/>
          <w:sz w:val="32"/>
          <w:szCs w:val="28"/>
        </w:rPr>
      </w:pPr>
      <w:r w:rsidRPr="00760605">
        <w:rPr>
          <w:rFonts w:ascii="Times New Roman" w:eastAsia="標楷體" w:hAnsi="Times New Roman" w:hint="eastAsia"/>
          <w:b/>
          <w:sz w:val="32"/>
          <w:szCs w:val="28"/>
        </w:rPr>
        <w:t>數位學習</w:t>
      </w:r>
      <w:r w:rsidR="007F59DB" w:rsidRPr="00760605">
        <w:rPr>
          <w:rFonts w:ascii="Times New Roman" w:eastAsia="標楷體" w:hAnsi="Times New Roman"/>
          <w:b/>
          <w:sz w:val="32"/>
          <w:szCs w:val="28"/>
        </w:rPr>
        <w:t>實施辦法</w:t>
      </w:r>
    </w:p>
    <w:p w:rsidR="007F59DB" w:rsidRDefault="00BA72BB" w:rsidP="00BA72BB">
      <w:pPr>
        <w:spacing w:line="0" w:lineRule="atLeast"/>
        <w:jc w:val="right"/>
        <w:rPr>
          <w:rFonts w:ascii="標楷體" w:eastAsia="標楷體" w:hAnsi="標楷體"/>
          <w:sz w:val="16"/>
          <w:szCs w:val="16"/>
        </w:rPr>
      </w:pPr>
      <w:r w:rsidRPr="00BA72BB">
        <w:rPr>
          <w:rFonts w:ascii="標楷體" w:eastAsia="標楷體" w:hAnsi="標楷體" w:hint="eastAsia"/>
          <w:sz w:val="16"/>
          <w:szCs w:val="16"/>
        </w:rPr>
        <w:t>103年</w:t>
      </w:r>
      <w:r w:rsidR="000417AA">
        <w:rPr>
          <w:rFonts w:ascii="標楷體" w:eastAsia="標楷體" w:hAnsi="標楷體" w:hint="eastAsia"/>
          <w:sz w:val="16"/>
          <w:szCs w:val="16"/>
        </w:rPr>
        <w:t>10</w:t>
      </w:r>
      <w:r w:rsidRPr="00BA72BB">
        <w:rPr>
          <w:rFonts w:ascii="標楷體" w:eastAsia="標楷體" w:hAnsi="標楷體" w:hint="eastAsia"/>
          <w:sz w:val="16"/>
          <w:szCs w:val="16"/>
        </w:rPr>
        <w:t>月</w:t>
      </w:r>
      <w:r w:rsidR="009E0070">
        <w:rPr>
          <w:rFonts w:ascii="標楷體" w:eastAsia="標楷體" w:hAnsi="標楷體" w:hint="eastAsia"/>
          <w:sz w:val="16"/>
          <w:szCs w:val="16"/>
        </w:rPr>
        <w:t>9</w:t>
      </w:r>
      <w:r w:rsidRPr="00BA72BB">
        <w:rPr>
          <w:rFonts w:ascii="標楷體" w:eastAsia="標楷體" w:hAnsi="標楷體" w:hint="eastAsia"/>
          <w:sz w:val="16"/>
          <w:szCs w:val="16"/>
        </w:rPr>
        <w:t>日103學年度第1學期第</w:t>
      </w:r>
      <w:r w:rsidR="009E0070">
        <w:rPr>
          <w:rFonts w:ascii="標楷體" w:eastAsia="標楷體" w:hAnsi="標楷體" w:hint="eastAsia"/>
          <w:sz w:val="16"/>
          <w:szCs w:val="16"/>
        </w:rPr>
        <w:t>1</w:t>
      </w:r>
      <w:r w:rsidRPr="00BA72BB">
        <w:rPr>
          <w:rFonts w:ascii="標楷體" w:eastAsia="標楷體" w:hAnsi="標楷體" w:hint="eastAsia"/>
          <w:sz w:val="16"/>
          <w:szCs w:val="16"/>
        </w:rPr>
        <w:t>次數位學習推動委員會通過</w:t>
      </w:r>
    </w:p>
    <w:p w:rsidR="00356431" w:rsidRPr="00356431" w:rsidRDefault="00BA72BB" w:rsidP="00356431">
      <w:pPr>
        <w:spacing w:line="0" w:lineRule="atLeast"/>
        <w:jc w:val="right"/>
        <w:rPr>
          <w:rFonts w:ascii="標楷體" w:eastAsia="標楷體" w:hAnsi="標楷體" w:hint="eastAsia"/>
          <w:sz w:val="16"/>
          <w:szCs w:val="16"/>
        </w:rPr>
      </w:pPr>
      <w:r w:rsidRPr="00BA72BB">
        <w:rPr>
          <w:rFonts w:ascii="標楷體" w:eastAsia="標楷體" w:hAnsi="標楷體" w:hint="eastAsia"/>
          <w:sz w:val="16"/>
          <w:szCs w:val="16"/>
        </w:rPr>
        <w:t>103年</w:t>
      </w:r>
      <w:r w:rsidR="000417AA">
        <w:rPr>
          <w:rFonts w:ascii="標楷體" w:eastAsia="標楷體" w:hAnsi="標楷體" w:hint="eastAsia"/>
          <w:sz w:val="16"/>
          <w:szCs w:val="16"/>
        </w:rPr>
        <w:t>10</w:t>
      </w:r>
      <w:r w:rsidRPr="00BA72BB">
        <w:rPr>
          <w:rFonts w:ascii="標楷體" w:eastAsia="標楷體" w:hAnsi="標楷體" w:hint="eastAsia"/>
          <w:sz w:val="16"/>
          <w:szCs w:val="16"/>
        </w:rPr>
        <w:t>月</w:t>
      </w:r>
      <w:r w:rsidR="00760605">
        <w:rPr>
          <w:rFonts w:ascii="標楷體" w:eastAsia="標楷體" w:hAnsi="標楷體"/>
          <w:sz w:val="16"/>
          <w:szCs w:val="16"/>
        </w:rPr>
        <w:t>15</w:t>
      </w:r>
      <w:r w:rsidRPr="00BA72BB">
        <w:rPr>
          <w:rFonts w:ascii="標楷體" w:eastAsia="標楷體" w:hAnsi="標楷體" w:hint="eastAsia"/>
          <w:sz w:val="16"/>
          <w:szCs w:val="16"/>
        </w:rPr>
        <w:t>日103學年度第1學期第</w:t>
      </w:r>
      <w:r w:rsidR="00760605">
        <w:rPr>
          <w:rFonts w:ascii="標楷體" w:eastAsia="標楷體" w:hAnsi="標楷體"/>
          <w:sz w:val="16"/>
          <w:szCs w:val="16"/>
        </w:rPr>
        <w:t>1</w:t>
      </w:r>
      <w:r w:rsidRPr="00BA72BB">
        <w:rPr>
          <w:rFonts w:ascii="標楷體" w:eastAsia="標楷體" w:hAnsi="標楷體" w:hint="eastAsia"/>
          <w:sz w:val="16"/>
          <w:szCs w:val="16"/>
        </w:rPr>
        <w:t>次</w:t>
      </w:r>
      <w:r>
        <w:rPr>
          <w:rFonts w:ascii="標楷體" w:eastAsia="標楷體" w:hAnsi="標楷體" w:hint="eastAsia"/>
          <w:sz w:val="16"/>
          <w:szCs w:val="16"/>
        </w:rPr>
        <w:t>教務會議核備</w:t>
      </w:r>
      <w:r w:rsidR="00826808">
        <w:rPr>
          <w:rFonts w:ascii="標楷體" w:eastAsia="標楷體" w:hAnsi="標楷體"/>
          <w:sz w:val="16"/>
          <w:szCs w:val="16"/>
        </w:rPr>
        <w:br/>
      </w:r>
      <w:r w:rsidR="00826808" w:rsidRPr="00826808">
        <w:rPr>
          <w:rFonts w:ascii="標楷體" w:eastAsia="標楷體" w:hAnsi="標楷體" w:hint="eastAsia"/>
          <w:sz w:val="16"/>
          <w:szCs w:val="16"/>
        </w:rPr>
        <w:t>103年12月17日103學年度第1學期第3次教務會議修正通過</w:t>
      </w:r>
      <w:r w:rsidR="00356431">
        <w:rPr>
          <w:rFonts w:ascii="標楷體" w:eastAsia="標楷體" w:hAnsi="標楷體"/>
          <w:sz w:val="16"/>
          <w:szCs w:val="16"/>
        </w:rPr>
        <w:br/>
      </w:r>
      <w:r w:rsidR="00356431" w:rsidRPr="00356431">
        <w:rPr>
          <w:rFonts w:ascii="標楷體" w:eastAsia="標楷體" w:hAnsi="標楷體" w:hint="eastAsia"/>
          <w:sz w:val="16"/>
          <w:szCs w:val="16"/>
        </w:rPr>
        <w:t>104年4月1日103學年度第2學期第1次教務會議修正通過</w:t>
      </w:r>
    </w:p>
    <w:p w:rsidR="00BA72BB" w:rsidRPr="00356431" w:rsidRDefault="00356431" w:rsidP="00356431">
      <w:pPr>
        <w:spacing w:line="0" w:lineRule="atLeast"/>
        <w:jc w:val="right"/>
        <w:rPr>
          <w:rFonts w:ascii="標楷體" w:eastAsia="標楷體" w:hAnsi="標楷體"/>
          <w:sz w:val="16"/>
          <w:szCs w:val="16"/>
        </w:rPr>
      </w:pPr>
      <w:r w:rsidRPr="00356431">
        <w:rPr>
          <w:rFonts w:ascii="標楷體" w:eastAsia="標楷體" w:hAnsi="標楷體" w:hint="eastAsia"/>
          <w:sz w:val="16"/>
          <w:szCs w:val="16"/>
        </w:rPr>
        <w:t>105年12月14日105學年度第1學期第2次教務會議修正通過</w:t>
      </w:r>
    </w:p>
    <w:p w:rsidR="00CC6E07" w:rsidRPr="00BA72BB" w:rsidRDefault="00CC6E07">
      <w:pPr>
        <w:rPr>
          <w:rFonts w:ascii="Times New Roman" w:eastAsia="標楷體" w:hAnsi="Times New Roman"/>
        </w:rPr>
      </w:pPr>
    </w:p>
    <w:p w:rsidR="008C55DC" w:rsidRPr="008B54C1" w:rsidRDefault="00966D55" w:rsidP="0046220B">
      <w:pPr>
        <w:pStyle w:val="a3"/>
        <w:numPr>
          <w:ilvl w:val="0"/>
          <w:numId w:val="1"/>
        </w:numPr>
        <w:spacing w:line="400" w:lineRule="exact"/>
        <w:ind w:leftChars="0" w:left="1134" w:hanging="1134"/>
        <w:jc w:val="both"/>
        <w:rPr>
          <w:rFonts w:ascii="Times New Roman" w:eastAsia="標楷體" w:hAnsi="Times New Roman"/>
        </w:rPr>
      </w:pPr>
      <w:r>
        <w:rPr>
          <w:rFonts w:ascii="Times New Roman" w:eastAsia="標楷體" w:hAnsi="Times New Roman" w:hint="eastAsia"/>
        </w:rPr>
        <w:t>國立東華大學（以下簡稱</w:t>
      </w:r>
      <w:r w:rsidR="006272C0" w:rsidRPr="00A62929">
        <w:rPr>
          <w:rFonts w:ascii="Times New Roman" w:eastAsia="標楷體" w:hAnsi="Times New Roman"/>
        </w:rPr>
        <w:t>本校</w:t>
      </w:r>
      <w:r>
        <w:rPr>
          <w:rFonts w:ascii="Times New Roman" w:eastAsia="標楷體" w:hAnsi="Times New Roman" w:hint="eastAsia"/>
        </w:rPr>
        <w:t>）</w:t>
      </w:r>
      <w:r w:rsidR="006272C0" w:rsidRPr="00A62929">
        <w:rPr>
          <w:rFonts w:ascii="Times New Roman" w:eastAsia="標楷體" w:hAnsi="Times New Roman"/>
        </w:rPr>
        <w:t>為</w:t>
      </w:r>
      <w:r w:rsidR="00A14C91" w:rsidRPr="00A62929">
        <w:rPr>
          <w:rFonts w:ascii="Times New Roman" w:eastAsia="標楷體" w:hAnsi="Times New Roman"/>
        </w:rPr>
        <w:t>提供多元化之</w:t>
      </w:r>
      <w:r w:rsidR="00952C4E" w:rsidRPr="00A62929">
        <w:rPr>
          <w:rFonts w:ascii="Times New Roman" w:eastAsia="標楷體" w:hAnsi="Times New Roman"/>
        </w:rPr>
        <w:t>學習</w:t>
      </w:r>
      <w:r w:rsidR="00DE7135">
        <w:rPr>
          <w:rFonts w:ascii="Times New Roman" w:eastAsia="標楷體" w:hAnsi="Times New Roman" w:hint="eastAsia"/>
        </w:rPr>
        <w:t>環境與方式</w:t>
      </w:r>
      <w:r w:rsidR="00952C4E" w:rsidRPr="00A62929">
        <w:rPr>
          <w:rFonts w:ascii="Times New Roman" w:eastAsia="標楷體" w:hAnsi="Times New Roman"/>
        </w:rPr>
        <w:t>，</w:t>
      </w:r>
      <w:r w:rsidR="00A14C91" w:rsidRPr="00A62929">
        <w:rPr>
          <w:rFonts w:ascii="Times New Roman" w:eastAsia="標楷體" w:hAnsi="Times New Roman"/>
        </w:rPr>
        <w:t>提升數位學習之教學品質</w:t>
      </w:r>
      <w:r w:rsidR="004052F6" w:rsidRPr="00A62929">
        <w:rPr>
          <w:rFonts w:ascii="Times New Roman" w:eastAsia="標楷體" w:hAnsi="Times New Roman"/>
        </w:rPr>
        <w:t>與成效</w:t>
      </w:r>
      <w:r w:rsidR="00A14C91" w:rsidRPr="00A62929">
        <w:rPr>
          <w:rFonts w:ascii="Times New Roman" w:eastAsia="標楷體" w:hAnsi="Times New Roman"/>
        </w:rPr>
        <w:t>，以</w:t>
      </w:r>
      <w:r w:rsidR="008A0C83" w:rsidRPr="00A62929">
        <w:rPr>
          <w:rFonts w:ascii="Times New Roman" w:eastAsia="標楷體" w:hAnsi="Times New Roman"/>
        </w:rPr>
        <w:t>因應</w:t>
      </w:r>
      <w:r w:rsidR="004052F6" w:rsidRPr="00A62929">
        <w:rPr>
          <w:rFonts w:ascii="Times New Roman" w:eastAsia="標楷體" w:hAnsi="Times New Roman"/>
        </w:rPr>
        <w:t>全</w:t>
      </w:r>
      <w:r w:rsidR="008A0C83" w:rsidRPr="00A62929">
        <w:rPr>
          <w:rFonts w:ascii="Times New Roman" w:eastAsia="標楷體" w:hAnsi="Times New Roman"/>
        </w:rPr>
        <w:t>球</w:t>
      </w:r>
      <w:r w:rsidR="004052F6" w:rsidRPr="00A62929">
        <w:rPr>
          <w:rFonts w:ascii="Times New Roman" w:eastAsia="標楷體" w:hAnsi="Times New Roman"/>
        </w:rPr>
        <w:t>教育</w:t>
      </w:r>
      <w:r w:rsidR="008A0C83" w:rsidRPr="00A62929">
        <w:rPr>
          <w:rFonts w:ascii="Times New Roman" w:eastAsia="標楷體" w:hAnsi="Times New Roman"/>
        </w:rPr>
        <w:t>發展</w:t>
      </w:r>
      <w:r w:rsidR="004052F6" w:rsidRPr="00A62929">
        <w:rPr>
          <w:rFonts w:ascii="Times New Roman" w:eastAsia="標楷體" w:hAnsi="Times New Roman"/>
        </w:rPr>
        <w:t>之</w:t>
      </w:r>
      <w:r w:rsidR="008A0C83" w:rsidRPr="00A62929">
        <w:rPr>
          <w:rFonts w:ascii="Times New Roman" w:eastAsia="標楷體" w:hAnsi="Times New Roman"/>
        </w:rPr>
        <w:t>趨勢</w:t>
      </w:r>
      <w:r w:rsidR="004052F6" w:rsidRPr="00A62929">
        <w:rPr>
          <w:rFonts w:ascii="Times New Roman" w:eastAsia="標楷體" w:hAnsi="Times New Roman"/>
        </w:rPr>
        <w:t>，</w:t>
      </w:r>
      <w:r w:rsidR="003148D0">
        <w:rPr>
          <w:rFonts w:ascii="Times New Roman" w:eastAsia="標楷體" w:hAnsi="Times New Roman" w:hint="eastAsia"/>
        </w:rPr>
        <w:t>並</w:t>
      </w:r>
      <w:r w:rsidR="008A0C83" w:rsidRPr="00A62929">
        <w:rPr>
          <w:rFonts w:ascii="Times New Roman" w:eastAsia="標楷體" w:hAnsi="Times New Roman"/>
        </w:rPr>
        <w:t>鼓勵教師開設</w:t>
      </w:r>
      <w:r w:rsidR="002674A1">
        <w:rPr>
          <w:rFonts w:ascii="Times New Roman" w:eastAsia="標楷體" w:hAnsi="Times New Roman" w:hint="eastAsia"/>
        </w:rPr>
        <w:t>數位學習</w:t>
      </w:r>
      <w:r w:rsidR="004315F9" w:rsidRPr="008B54C1">
        <w:rPr>
          <w:rFonts w:ascii="Times New Roman" w:eastAsia="標楷體" w:hAnsi="Times New Roman" w:hint="eastAsia"/>
        </w:rPr>
        <w:t>課程，</w:t>
      </w:r>
      <w:r w:rsidR="0007687E" w:rsidRPr="008B54C1">
        <w:rPr>
          <w:rFonts w:ascii="Times New Roman" w:eastAsia="標楷體" w:hAnsi="Times New Roman" w:hint="eastAsia"/>
        </w:rPr>
        <w:t>依據教育部「</w:t>
      </w:r>
      <w:r w:rsidR="00356431">
        <w:rPr>
          <w:rFonts w:ascii="Times New Roman" w:eastAsia="標楷體" w:hAnsi="Times New Roman" w:hint="eastAsia"/>
        </w:rPr>
        <w:t>專科以上學校遠距教學實施辦法</w:t>
      </w:r>
      <w:bookmarkStart w:id="0" w:name="_GoBack"/>
      <w:bookmarkEnd w:id="0"/>
      <w:r w:rsidR="0007687E" w:rsidRPr="008B54C1">
        <w:rPr>
          <w:rFonts w:ascii="Times New Roman" w:eastAsia="標楷體" w:hAnsi="Times New Roman" w:hint="eastAsia"/>
        </w:rPr>
        <w:t>」</w:t>
      </w:r>
      <w:r w:rsidR="002C3FF6" w:rsidRPr="008B54C1">
        <w:rPr>
          <w:rFonts w:ascii="Times New Roman" w:eastAsia="標楷體" w:hAnsi="Times New Roman" w:hint="eastAsia"/>
        </w:rPr>
        <w:t>及「</w:t>
      </w:r>
      <w:r w:rsidR="00555F9E" w:rsidRPr="008B54C1">
        <w:rPr>
          <w:rFonts w:ascii="Times New Roman" w:eastAsia="標楷體" w:hAnsi="Times New Roman" w:hint="eastAsia"/>
        </w:rPr>
        <w:t>數位學習認證審查與申請須知」</w:t>
      </w:r>
      <w:r w:rsidR="0007687E" w:rsidRPr="008B54C1">
        <w:rPr>
          <w:rFonts w:ascii="Times New Roman" w:eastAsia="標楷體" w:hAnsi="Times New Roman" w:hint="eastAsia"/>
        </w:rPr>
        <w:t>，</w:t>
      </w:r>
      <w:r w:rsidR="004052F6" w:rsidRPr="008B54C1">
        <w:rPr>
          <w:rFonts w:ascii="Times New Roman" w:eastAsia="標楷體" w:hAnsi="Times New Roman"/>
        </w:rPr>
        <w:t>訂定「</w:t>
      </w:r>
      <w:r w:rsidR="00996C40" w:rsidRPr="008B54C1">
        <w:rPr>
          <w:rFonts w:ascii="Times New Roman" w:eastAsia="標楷體" w:hAnsi="Times New Roman"/>
        </w:rPr>
        <w:t>國立東華大學</w:t>
      </w:r>
      <w:r w:rsidR="002674A1" w:rsidRPr="008B54C1">
        <w:rPr>
          <w:rFonts w:ascii="Times New Roman" w:eastAsia="標楷體" w:hAnsi="Times New Roman" w:hint="eastAsia"/>
        </w:rPr>
        <w:t>數位學習</w:t>
      </w:r>
      <w:r w:rsidR="004052F6" w:rsidRPr="008B54C1">
        <w:rPr>
          <w:rFonts w:ascii="Times New Roman" w:eastAsia="標楷體" w:hAnsi="Times New Roman"/>
        </w:rPr>
        <w:t>實施辦法」（以下簡稱為本辦法）。</w:t>
      </w:r>
    </w:p>
    <w:p w:rsidR="004052F6" w:rsidRDefault="003148D0" w:rsidP="0046220B">
      <w:pPr>
        <w:pStyle w:val="a3"/>
        <w:numPr>
          <w:ilvl w:val="0"/>
          <w:numId w:val="1"/>
        </w:numPr>
        <w:spacing w:line="400" w:lineRule="exact"/>
        <w:ind w:leftChars="0" w:left="1134" w:hanging="1134"/>
        <w:jc w:val="both"/>
        <w:rPr>
          <w:rFonts w:ascii="Times New Roman" w:eastAsia="標楷體" w:hAnsi="Times New Roman"/>
        </w:rPr>
      </w:pPr>
      <w:r w:rsidRPr="008B54C1">
        <w:rPr>
          <w:rFonts w:ascii="Times New Roman" w:eastAsia="標楷體" w:hAnsi="Times New Roman" w:hint="eastAsia"/>
        </w:rPr>
        <w:t>本辦法所稱之</w:t>
      </w:r>
      <w:r w:rsidR="000E318B" w:rsidRPr="008B54C1">
        <w:rPr>
          <w:rFonts w:ascii="Times New Roman" w:eastAsia="標楷體" w:hAnsi="Times New Roman" w:hint="eastAsia"/>
        </w:rPr>
        <w:t>數位學習</w:t>
      </w:r>
      <w:r w:rsidRPr="008B54C1">
        <w:rPr>
          <w:rFonts w:ascii="Times New Roman" w:eastAsia="標楷體" w:hAnsi="Times New Roman" w:hint="eastAsia"/>
        </w:rPr>
        <w:t>，其</w:t>
      </w:r>
      <w:r w:rsidR="00D32A84" w:rsidRPr="008B54C1">
        <w:rPr>
          <w:rFonts w:ascii="Times New Roman" w:eastAsia="標楷體" w:hAnsi="Times New Roman"/>
        </w:rPr>
        <w:t>課程實施方式</w:t>
      </w:r>
      <w:r w:rsidR="001458B1" w:rsidRPr="008B54C1">
        <w:rPr>
          <w:rFonts w:ascii="Times New Roman" w:eastAsia="標楷體" w:hAnsi="Times New Roman" w:hint="eastAsia"/>
        </w:rPr>
        <w:t>依教學性質分為以下二</w:t>
      </w:r>
      <w:r w:rsidRPr="008B54C1">
        <w:rPr>
          <w:rFonts w:ascii="Times New Roman" w:eastAsia="標楷體" w:hAnsi="Times New Roman" w:hint="eastAsia"/>
        </w:rPr>
        <w:t>種：</w:t>
      </w:r>
    </w:p>
    <w:p w:rsidR="008B54C1" w:rsidRPr="002F12AC" w:rsidRDefault="008B54C1" w:rsidP="0046220B">
      <w:pPr>
        <w:pStyle w:val="a3"/>
        <w:numPr>
          <w:ilvl w:val="0"/>
          <w:numId w:val="11"/>
        </w:numPr>
        <w:spacing w:line="400" w:lineRule="exact"/>
        <w:ind w:leftChars="0" w:left="1560"/>
        <w:jc w:val="both"/>
        <w:rPr>
          <w:rFonts w:ascii="Times New Roman" w:eastAsia="標楷體" w:hAnsi="Times New Roman"/>
        </w:rPr>
      </w:pPr>
      <w:r w:rsidRPr="008B54C1">
        <w:rPr>
          <w:rFonts w:ascii="Times New Roman" w:eastAsia="標楷體" w:hAnsi="Times New Roman" w:hint="eastAsia"/>
        </w:rPr>
        <w:t>數位輔助教學：以傳統實體授課為主，並將一定比例之課程資料</w:t>
      </w:r>
      <w:r w:rsidRPr="008B54C1">
        <w:rPr>
          <w:rFonts w:ascii="Times New Roman" w:eastAsia="標楷體" w:hAnsi="Times New Roman" w:hint="eastAsia"/>
        </w:rPr>
        <w:t>(</w:t>
      </w:r>
      <w:r w:rsidRPr="008B54C1">
        <w:rPr>
          <w:rFonts w:ascii="Times New Roman" w:eastAsia="標楷體" w:hAnsi="Times New Roman" w:hint="eastAsia"/>
        </w:rPr>
        <w:t>如教學大</w:t>
      </w:r>
      <w:r w:rsidRPr="002F12AC">
        <w:rPr>
          <w:rFonts w:ascii="Times New Roman" w:eastAsia="標楷體" w:hAnsi="Times New Roman" w:hint="eastAsia"/>
        </w:rPr>
        <w:t>綱、教學計畫表</w:t>
      </w:r>
      <w:r w:rsidRPr="002F12AC">
        <w:rPr>
          <w:rFonts w:ascii="Times New Roman" w:eastAsia="標楷體" w:hAnsi="Times New Roman" w:hint="eastAsia"/>
        </w:rPr>
        <w:t>)</w:t>
      </w:r>
      <w:r w:rsidRPr="002F12AC">
        <w:rPr>
          <w:rFonts w:ascii="Times New Roman" w:eastAsia="標楷體" w:hAnsi="Times New Roman" w:hint="eastAsia"/>
        </w:rPr>
        <w:t>與課程補充教材（如自製課程簡報或多媒體教材），置於數位教學平台（如東華</w:t>
      </w:r>
      <w:r w:rsidRPr="002F12AC">
        <w:rPr>
          <w:rFonts w:ascii="Times New Roman" w:eastAsia="標楷體" w:hAnsi="Times New Roman" w:hint="eastAsia"/>
        </w:rPr>
        <w:t>e</w:t>
      </w:r>
      <w:r w:rsidRPr="002F12AC">
        <w:rPr>
          <w:rFonts w:ascii="Times New Roman" w:eastAsia="標楷體" w:hAnsi="Times New Roman" w:hint="eastAsia"/>
        </w:rPr>
        <w:t>學苑）中，作為輔助之教學方式。</w:t>
      </w:r>
    </w:p>
    <w:p w:rsidR="008B54C1" w:rsidRPr="002F12AC" w:rsidRDefault="008B54C1" w:rsidP="0046220B">
      <w:pPr>
        <w:pStyle w:val="a3"/>
        <w:numPr>
          <w:ilvl w:val="0"/>
          <w:numId w:val="11"/>
        </w:numPr>
        <w:spacing w:line="400" w:lineRule="exact"/>
        <w:ind w:leftChars="0" w:left="1560"/>
        <w:jc w:val="both"/>
        <w:rPr>
          <w:rFonts w:ascii="Times New Roman" w:eastAsia="標楷體" w:hAnsi="Times New Roman"/>
        </w:rPr>
      </w:pPr>
      <w:r w:rsidRPr="002F12AC">
        <w:rPr>
          <w:rFonts w:ascii="Times New Roman" w:eastAsia="標楷體" w:hAnsi="Times New Roman" w:hint="eastAsia"/>
        </w:rPr>
        <w:t>網路互動教學：使用網路傳輸媒體，實施一定比例之同步或非同步的互動式教學（線上授課時數需至少佔總上課時數之二分之一以上），過程應詳實記錄師生上課互動、繳交作業、學習評量等授課情形。（如數位學習認證課程、</w:t>
      </w:r>
      <w:r w:rsidRPr="002F12AC">
        <w:rPr>
          <w:rFonts w:ascii="Times New Roman" w:eastAsia="標楷體" w:hAnsi="Times New Roman" w:hint="eastAsia"/>
        </w:rPr>
        <w:t>MOOCs</w:t>
      </w:r>
      <w:r w:rsidRPr="002F12AC">
        <w:rPr>
          <w:rFonts w:ascii="Times New Roman" w:eastAsia="標楷體" w:hAnsi="Times New Roman" w:hint="eastAsia"/>
        </w:rPr>
        <w:t>等）</w:t>
      </w:r>
    </w:p>
    <w:p w:rsidR="003E4686" w:rsidRPr="008B54C1" w:rsidRDefault="003E4686" w:rsidP="0046220B">
      <w:pPr>
        <w:pStyle w:val="a3"/>
        <w:numPr>
          <w:ilvl w:val="0"/>
          <w:numId w:val="1"/>
        </w:numPr>
        <w:spacing w:line="400" w:lineRule="exact"/>
        <w:ind w:leftChars="0" w:left="1134" w:hanging="1134"/>
        <w:jc w:val="both"/>
        <w:rPr>
          <w:rFonts w:ascii="Times New Roman" w:eastAsia="標楷體" w:hAnsi="Times New Roman"/>
        </w:rPr>
      </w:pPr>
      <w:r w:rsidRPr="008B54C1">
        <w:rPr>
          <w:rFonts w:ascii="Times New Roman" w:eastAsia="標楷體" w:hAnsi="Times New Roman" w:hint="eastAsia"/>
        </w:rPr>
        <w:t>為辦理及推動各項數位學習之課程規劃、補助、審查與評鑑，本校特設置</w:t>
      </w:r>
      <w:r w:rsidR="00C056BE" w:rsidRPr="008B54C1">
        <w:rPr>
          <w:rFonts w:ascii="Times New Roman" w:eastAsia="標楷體" w:hAnsi="Times New Roman" w:hint="eastAsia"/>
        </w:rPr>
        <w:t>「</w:t>
      </w:r>
      <w:r w:rsidR="006941E6" w:rsidRPr="008B54C1">
        <w:rPr>
          <w:rFonts w:ascii="Times New Roman" w:eastAsia="標楷體" w:hAnsi="Times New Roman" w:hint="eastAsia"/>
        </w:rPr>
        <w:t>數位學習推動委員會</w:t>
      </w:r>
      <w:r w:rsidR="00C056BE" w:rsidRPr="008B54C1">
        <w:rPr>
          <w:rFonts w:ascii="Times New Roman" w:eastAsia="標楷體" w:hAnsi="Times New Roman" w:hint="eastAsia"/>
        </w:rPr>
        <w:t>」</w:t>
      </w:r>
      <w:r w:rsidRPr="008B54C1">
        <w:rPr>
          <w:rFonts w:ascii="Times New Roman" w:eastAsia="標楷體" w:hAnsi="Times New Roman" w:hint="eastAsia"/>
        </w:rPr>
        <w:t>，相關</w:t>
      </w:r>
      <w:r w:rsidR="006941E6" w:rsidRPr="008B54C1">
        <w:rPr>
          <w:rFonts w:ascii="Times New Roman" w:eastAsia="標楷體" w:hAnsi="Times New Roman" w:hint="eastAsia"/>
        </w:rPr>
        <w:t>設置</w:t>
      </w:r>
      <w:r w:rsidRPr="008B54C1">
        <w:rPr>
          <w:rFonts w:ascii="Times New Roman" w:eastAsia="標楷體" w:hAnsi="Times New Roman" w:hint="eastAsia"/>
        </w:rPr>
        <w:t>辦法另訂定之。</w:t>
      </w:r>
    </w:p>
    <w:p w:rsidR="003E4686" w:rsidRPr="008B54C1" w:rsidRDefault="003E4686" w:rsidP="0046220B">
      <w:pPr>
        <w:pStyle w:val="a3"/>
        <w:numPr>
          <w:ilvl w:val="0"/>
          <w:numId w:val="1"/>
        </w:numPr>
        <w:spacing w:line="400" w:lineRule="exact"/>
        <w:ind w:leftChars="0" w:left="1134" w:hanging="1134"/>
        <w:jc w:val="both"/>
        <w:rPr>
          <w:rFonts w:ascii="Times New Roman" w:eastAsia="標楷體" w:hAnsi="Times New Roman"/>
        </w:rPr>
      </w:pPr>
      <w:r w:rsidRPr="008B54C1">
        <w:rPr>
          <w:rFonts w:ascii="Times New Roman" w:eastAsia="標楷體" w:hAnsi="Times New Roman" w:hint="eastAsia"/>
        </w:rPr>
        <w:t>數位學習之權責劃分如下：</w:t>
      </w:r>
    </w:p>
    <w:p w:rsidR="003E4686" w:rsidRPr="008B54C1" w:rsidRDefault="003E4686" w:rsidP="0046220B">
      <w:pPr>
        <w:pStyle w:val="a3"/>
        <w:numPr>
          <w:ilvl w:val="0"/>
          <w:numId w:val="9"/>
        </w:numPr>
        <w:spacing w:line="400" w:lineRule="exact"/>
        <w:ind w:leftChars="0" w:left="1560"/>
        <w:jc w:val="both"/>
        <w:rPr>
          <w:rFonts w:ascii="Times New Roman" w:eastAsia="標楷體" w:hAnsi="Times New Roman"/>
        </w:rPr>
      </w:pPr>
      <w:r w:rsidRPr="008B54C1">
        <w:rPr>
          <w:rFonts w:ascii="Times New Roman" w:eastAsia="標楷體" w:hAnsi="Times New Roman" w:hint="eastAsia"/>
        </w:rPr>
        <w:t>教務處－數位學習之相關行政業務，含</w:t>
      </w:r>
      <w:r w:rsidR="006941E6" w:rsidRPr="008B54C1">
        <w:rPr>
          <w:rFonts w:ascii="Times New Roman" w:eastAsia="標楷體" w:hAnsi="Times New Roman" w:hint="eastAsia"/>
        </w:rPr>
        <w:t>法規</w:t>
      </w:r>
      <w:r w:rsidRPr="008B54C1">
        <w:rPr>
          <w:rFonts w:ascii="Times New Roman" w:eastAsia="標楷體" w:hAnsi="Times New Roman" w:hint="eastAsia"/>
        </w:rPr>
        <w:t>修訂、</w:t>
      </w:r>
      <w:r w:rsidR="006941E6" w:rsidRPr="008B54C1">
        <w:rPr>
          <w:rFonts w:ascii="Times New Roman" w:eastAsia="標楷體" w:hAnsi="Times New Roman" w:hint="eastAsia"/>
        </w:rPr>
        <w:t>業務協調</w:t>
      </w:r>
      <w:r w:rsidRPr="008B54C1">
        <w:rPr>
          <w:rFonts w:ascii="Times New Roman" w:eastAsia="標楷體" w:hAnsi="Times New Roman" w:hint="eastAsia"/>
        </w:rPr>
        <w:t>。</w:t>
      </w:r>
    </w:p>
    <w:p w:rsidR="003E4686" w:rsidRPr="008B54C1" w:rsidRDefault="003E4686" w:rsidP="0046220B">
      <w:pPr>
        <w:pStyle w:val="a3"/>
        <w:numPr>
          <w:ilvl w:val="0"/>
          <w:numId w:val="9"/>
        </w:numPr>
        <w:spacing w:line="400" w:lineRule="exact"/>
        <w:ind w:leftChars="0" w:left="1560"/>
        <w:jc w:val="both"/>
        <w:rPr>
          <w:rFonts w:ascii="Times New Roman" w:eastAsia="標楷體" w:hAnsi="Times New Roman"/>
        </w:rPr>
      </w:pPr>
      <w:r w:rsidRPr="008B54C1">
        <w:rPr>
          <w:rFonts w:ascii="Times New Roman" w:eastAsia="標楷體" w:hAnsi="Times New Roman" w:hint="eastAsia"/>
        </w:rPr>
        <w:t>圖書資訊中心－</w:t>
      </w:r>
      <w:r w:rsidR="006941E6" w:rsidRPr="008B54C1">
        <w:rPr>
          <w:rFonts w:ascii="Times New Roman" w:eastAsia="標楷體" w:hAnsi="Times New Roman" w:hint="eastAsia"/>
        </w:rPr>
        <w:t>教學網路、</w:t>
      </w:r>
      <w:r w:rsidRPr="008B54C1">
        <w:rPr>
          <w:rFonts w:ascii="Times New Roman" w:eastAsia="標楷體" w:hAnsi="Times New Roman" w:hint="eastAsia"/>
        </w:rPr>
        <w:t>數位學習相關平台規劃與建置、</w:t>
      </w:r>
      <w:r w:rsidR="0068118C" w:rsidRPr="008B54C1">
        <w:rPr>
          <w:rFonts w:ascii="Times New Roman" w:eastAsia="標楷體" w:hAnsi="Times New Roman" w:hint="eastAsia"/>
        </w:rPr>
        <w:t>相關技術支援</w:t>
      </w:r>
      <w:r w:rsidR="00525BA3" w:rsidRPr="008B54C1">
        <w:rPr>
          <w:rFonts w:ascii="Times New Roman" w:eastAsia="標楷體" w:hAnsi="Times New Roman" w:hint="eastAsia"/>
        </w:rPr>
        <w:t>、著作權與智財權之相關法令諮詢及推廣</w:t>
      </w:r>
      <w:r w:rsidR="0068118C" w:rsidRPr="008B54C1">
        <w:rPr>
          <w:rFonts w:ascii="Times New Roman" w:eastAsia="標楷體" w:hAnsi="Times New Roman" w:hint="eastAsia"/>
        </w:rPr>
        <w:t>。</w:t>
      </w:r>
    </w:p>
    <w:p w:rsidR="003E4686" w:rsidRPr="008B54C1" w:rsidRDefault="003E4686" w:rsidP="0046220B">
      <w:pPr>
        <w:pStyle w:val="a3"/>
        <w:numPr>
          <w:ilvl w:val="0"/>
          <w:numId w:val="9"/>
        </w:numPr>
        <w:overflowPunct w:val="0"/>
        <w:spacing w:line="400" w:lineRule="exact"/>
        <w:ind w:leftChars="0" w:left="1560"/>
        <w:jc w:val="both"/>
        <w:rPr>
          <w:rFonts w:ascii="Times New Roman" w:eastAsia="標楷體" w:hAnsi="Times New Roman"/>
        </w:rPr>
      </w:pPr>
      <w:r w:rsidRPr="008B54C1">
        <w:rPr>
          <w:rFonts w:ascii="Times New Roman" w:eastAsia="標楷體" w:hAnsi="Times New Roman" w:hint="eastAsia"/>
        </w:rPr>
        <w:t>教學卓越中心－</w:t>
      </w:r>
      <w:r w:rsidR="00AE777E" w:rsidRPr="008B54C1">
        <w:rPr>
          <w:rFonts w:ascii="Times New Roman" w:eastAsia="標楷體" w:hAnsi="Times New Roman" w:hint="eastAsia"/>
        </w:rPr>
        <w:t>協助教師製作數位學習相</w:t>
      </w:r>
      <w:r w:rsidR="00176CD7" w:rsidRPr="008B54C1">
        <w:rPr>
          <w:rFonts w:ascii="Times New Roman" w:eastAsia="標楷體" w:hAnsi="Times New Roman" w:hint="eastAsia"/>
        </w:rPr>
        <w:t>關課程、</w:t>
      </w:r>
      <w:r w:rsidR="006941E6" w:rsidRPr="008B54C1">
        <w:rPr>
          <w:rFonts w:ascii="Times New Roman" w:eastAsia="標楷體" w:hAnsi="Times New Roman" w:hint="eastAsia"/>
        </w:rPr>
        <w:t>教學助理培訓、教學學習支援、</w:t>
      </w:r>
      <w:r w:rsidR="00176CD7" w:rsidRPr="008B54C1">
        <w:rPr>
          <w:rFonts w:ascii="Times New Roman" w:eastAsia="標楷體" w:hAnsi="Times New Roman" w:hint="eastAsia"/>
        </w:rPr>
        <w:t>辦理相關講座及社群</w:t>
      </w:r>
      <w:r w:rsidR="007A5021" w:rsidRPr="008B54C1">
        <w:rPr>
          <w:rFonts w:ascii="Times New Roman" w:eastAsia="標楷體" w:hAnsi="Times New Roman" w:hint="eastAsia"/>
        </w:rPr>
        <w:t>、數位課程補助與獎勵</w:t>
      </w:r>
      <w:r w:rsidR="00176CD7" w:rsidRPr="008B54C1">
        <w:rPr>
          <w:rFonts w:ascii="Times New Roman" w:eastAsia="標楷體" w:hAnsi="Times New Roman" w:hint="eastAsia"/>
        </w:rPr>
        <w:t>。</w:t>
      </w:r>
    </w:p>
    <w:p w:rsidR="00D5592A" w:rsidRPr="00D5592A" w:rsidRDefault="008F66EB" w:rsidP="0046220B">
      <w:pPr>
        <w:pStyle w:val="a3"/>
        <w:numPr>
          <w:ilvl w:val="0"/>
          <w:numId w:val="1"/>
        </w:numPr>
        <w:spacing w:line="400" w:lineRule="exact"/>
        <w:ind w:leftChars="0" w:left="1134" w:hanging="1134"/>
        <w:jc w:val="both"/>
        <w:rPr>
          <w:rFonts w:ascii="Times New Roman" w:eastAsia="標楷體" w:hAnsi="Times New Roman"/>
        </w:rPr>
      </w:pPr>
      <w:r>
        <w:rPr>
          <w:rFonts w:ascii="Times New Roman" w:eastAsia="標楷體" w:hAnsi="Times New Roman" w:hint="eastAsia"/>
        </w:rPr>
        <w:t>教師開授數位學習課程，須將教學目標、適合修讀對象、課程大綱、上課方式、平台使用說明、議題討論、作業繳交、成績評量</w:t>
      </w:r>
      <w:r w:rsidR="0074296C">
        <w:rPr>
          <w:rFonts w:ascii="Times New Roman" w:eastAsia="標楷體" w:hAnsi="Times New Roman" w:hint="eastAsia"/>
        </w:rPr>
        <w:t>、補充教材或網路資源</w:t>
      </w:r>
      <w:r>
        <w:rPr>
          <w:rFonts w:ascii="Times New Roman" w:eastAsia="標楷體" w:hAnsi="Times New Roman" w:hint="eastAsia"/>
        </w:rPr>
        <w:t>及上課注意事項等建構於網路平台上</w:t>
      </w:r>
      <w:r w:rsidR="00217B5D">
        <w:rPr>
          <w:rFonts w:ascii="Times New Roman" w:eastAsia="標楷體" w:hAnsi="Times New Roman" w:hint="eastAsia"/>
        </w:rPr>
        <w:t>，並適時提供相關教學資訊，供學生依規定</w:t>
      </w:r>
      <w:proofErr w:type="gramStart"/>
      <w:r w:rsidR="00217B5D">
        <w:rPr>
          <w:rFonts w:ascii="Times New Roman" w:eastAsia="標楷體" w:hAnsi="Times New Roman" w:hint="eastAsia"/>
        </w:rPr>
        <w:t>進度於課前</w:t>
      </w:r>
      <w:proofErr w:type="gramEnd"/>
      <w:r w:rsidR="005241B3">
        <w:rPr>
          <w:rFonts w:ascii="Times New Roman" w:eastAsia="標楷體" w:hAnsi="Times New Roman" w:hint="eastAsia"/>
        </w:rPr>
        <w:t>、課中及</w:t>
      </w:r>
      <w:r w:rsidR="00217B5D">
        <w:rPr>
          <w:rFonts w:ascii="Times New Roman" w:eastAsia="標楷體" w:hAnsi="Times New Roman" w:hint="eastAsia"/>
        </w:rPr>
        <w:t>課後學習、討論、繳交報告及作業等，</w:t>
      </w:r>
      <w:r w:rsidR="000B520F">
        <w:rPr>
          <w:rFonts w:ascii="Times New Roman" w:eastAsia="標楷體" w:hAnsi="Times New Roman" w:hint="eastAsia"/>
        </w:rPr>
        <w:t>並定期</w:t>
      </w:r>
      <w:proofErr w:type="gramStart"/>
      <w:r w:rsidR="00217B5D">
        <w:rPr>
          <w:rFonts w:ascii="Times New Roman" w:eastAsia="標楷體" w:hAnsi="Times New Roman" w:hint="eastAsia"/>
        </w:rPr>
        <w:t>於線上或</w:t>
      </w:r>
      <w:proofErr w:type="gramEnd"/>
      <w:r w:rsidR="00217B5D">
        <w:rPr>
          <w:rFonts w:ascii="Times New Roman" w:eastAsia="標楷體" w:hAnsi="Times New Roman" w:hint="eastAsia"/>
        </w:rPr>
        <w:t>實體教室中舉辦期中、期末及平常考試。</w:t>
      </w:r>
    </w:p>
    <w:p w:rsidR="00280343" w:rsidRPr="002F12AC" w:rsidRDefault="00280343" w:rsidP="0046220B">
      <w:pPr>
        <w:pStyle w:val="a3"/>
        <w:numPr>
          <w:ilvl w:val="0"/>
          <w:numId w:val="1"/>
        </w:numPr>
        <w:spacing w:line="400" w:lineRule="exact"/>
        <w:ind w:leftChars="0" w:left="1134" w:hanging="1134"/>
        <w:jc w:val="both"/>
        <w:rPr>
          <w:rFonts w:ascii="Times New Roman" w:eastAsia="標楷體" w:hAnsi="Times New Roman"/>
        </w:rPr>
      </w:pPr>
      <w:r w:rsidRPr="0007687E">
        <w:rPr>
          <w:rFonts w:ascii="Times New Roman" w:eastAsia="標楷體" w:hAnsi="Times New Roman" w:hint="eastAsia"/>
        </w:rPr>
        <w:t>教師開</w:t>
      </w:r>
      <w:r w:rsidRPr="002F12AC">
        <w:rPr>
          <w:rFonts w:ascii="Times New Roman" w:eastAsia="標楷體" w:hAnsi="Times New Roman" w:hint="eastAsia"/>
        </w:rPr>
        <w:t>設</w:t>
      </w:r>
      <w:r w:rsidR="009E744A" w:rsidRPr="002F12AC">
        <w:rPr>
          <w:rFonts w:ascii="標楷體" w:eastAsia="標楷體" w:hAnsi="標楷體" w:cs="新細明體" w:hint="eastAsia"/>
          <w:kern w:val="0"/>
          <w:sz w:val="25"/>
          <w:szCs w:val="25"/>
        </w:rPr>
        <w:t>網路互動教學</w:t>
      </w:r>
      <w:r w:rsidRPr="002F12AC">
        <w:rPr>
          <w:rFonts w:ascii="Times New Roman" w:eastAsia="標楷體" w:hAnsi="Times New Roman" w:hint="eastAsia"/>
        </w:rPr>
        <w:t>課程，一學期以開設二門課程為上限，且各</w:t>
      </w:r>
      <w:r w:rsidR="006941E6" w:rsidRPr="002F12AC">
        <w:rPr>
          <w:rFonts w:ascii="Times New Roman" w:eastAsia="標楷體" w:hAnsi="Times New Roman" w:hint="eastAsia"/>
        </w:rPr>
        <w:t>開課單位</w:t>
      </w:r>
      <w:r w:rsidRPr="002F12AC">
        <w:rPr>
          <w:rFonts w:ascii="Times New Roman" w:eastAsia="標楷體" w:hAnsi="Times New Roman" w:hint="eastAsia"/>
        </w:rPr>
        <w:lastRenderedPageBreak/>
        <w:t>開設之</w:t>
      </w:r>
      <w:r w:rsidR="00BD2F57" w:rsidRPr="002F12AC">
        <w:rPr>
          <w:rFonts w:ascii="標楷體" w:eastAsia="標楷體" w:hAnsi="標楷體" w:cs="新細明體" w:hint="eastAsia"/>
          <w:kern w:val="0"/>
          <w:sz w:val="25"/>
          <w:szCs w:val="25"/>
        </w:rPr>
        <w:t>網路互動教學</w:t>
      </w:r>
      <w:r w:rsidR="00BD2F57" w:rsidRPr="002F12AC">
        <w:rPr>
          <w:rFonts w:ascii="Times New Roman" w:eastAsia="標楷體" w:hAnsi="Times New Roman" w:hint="eastAsia"/>
        </w:rPr>
        <w:t>課程</w:t>
      </w:r>
      <w:r w:rsidRPr="002F12AC">
        <w:rPr>
          <w:rFonts w:ascii="Times New Roman" w:eastAsia="標楷體" w:hAnsi="Times New Roman" w:hint="eastAsia"/>
        </w:rPr>
        <w:t>不得超過當學期開課總數二分之一</w:t>
      </w:r>
      <w:r w:rsidR="00BD2F57" w:rsidRPr="002F12AC">
        <w:rPr>
          <w:rFonts w:ascii="Times New Roman" w:eastAsia="標楷體" w:hAnsi="Times New Roman" w:hint="eastAsia"/>
        </w:rPr>
        <w:t>為原則</w:t>
      </w:r>
      <w:r w:rsidRPr="002F12AC">
        <w:rPr>
          <w:rFonts w:ascii="Times New Roman" w:eastAsia="標楷體" w:hAnsi="Times New Roman" w:hint="eastAsia"/>
        </w:rPr>
        <w:t>。</w:t>
      </w:r>
    </w:p>
    <w:p w:rsidR="00D32A84" w:rsidRPr="00A62929" w:rsidRDefault="00477B8E" w:rsidP="0046220B">
      <w:pPr>
        <w:pStyle w:val="a3"/>
        <w:numPr>
          <w:ilvl w:val="0"/>
          <w:numId w:val="1"/>
        </w:numPr>
        <w:spacing w:line="400" w:lineRule="exact"/>
        <w:ind w:leftChars="0" w:left="1134" w:hanging="1134"/>
        <w:jc w:val="both"/>
        <w:rPr>
          <w:rFonts w:ascii="Times New Roman" w:eastAsia="標楷體" w:hAnsi="Times New Roman"/>
        </w:rPr>
      </w:pPr>
      <w:r w:rsidRPr="00A62929">
        <w:rPr>
          <w:rFonts w:ascii="Times New Roman" w:eastAsia="標楷體" w:hAnsi="Times New Roman"/>
        </w:rPr>
        <w:t>申請方式</w:t>
      </w:r>
    </w:p>
    <w:p w:rsidR="00176CD7" w:rsidRDefault="00176CD7" w:rsidP="0046220B">
      <w:pPr>
        <w:pStyle w:val="a3"/>
        <w:numPr>
          <w:ilvl w:val="0"/>
          <w:numId w:val="3"/>
        </w:numPr>
        <w:spacing w:line="400" w:lineRule="exact"/>
        <w:ind w:leftChars="0" w:left="1560" w:hanging="482"/>
        <w:jc w:val="both"/>
        <w:rPr>
          <w:rFonts w:ascii="Times New Roman" w:eastAsia="標楷體" w:hAnsi="Times New Roman"/>
        </w:rPr>
      </w:pPr>
      <w:r>
        <w:rPr>
          <w:rFonts w:ascii="Times New Roman" w:eastAsia="標楷體" w:hAnsi="Times New Roman" w:hint="eastAsia"/>
        </w:rPr>
        <w:t>開授數位學習課程，授課教師應為依規定聘任之合格教師。</w:t>
      </w:r>
    </w:p>
    <w:p w:rsidR="004D3D8C" w:rsidRPr="00A62929" w:rsidRDefault="00D377B3" w:rsidP="0046220B">
      <w:pPr>
        <w:pStyle w:val="a3"/>
        <w:numPr>
          <w:ilvl w:val="0"/>
          <w:numId w:val="3"/>
        </w:numPr>
        <w:spacing w:line="400" w:lineRule="exact"/>
        <w:ind w:leftChars="0" w:left="1560" w:hanging="482"/>
        <w:jc w:val="both"/>
        <w:rPr>
          <w:rFonts w:ascii="Times New Roman" w:eastAsia="標楷體" w:hAnsi="Times New Roman"/>
        </w:rPr>
      </w:pPr>
      <w:r>
        <w:rPr>
          <w:rFonts w:ascii="Times New Roman" w:eastAsia="標楷體" w:hAnsi="Times New Roman" w:hint="eastAsia"/>
        </w:rPr>
        <w:t>開授</w:t>
      </w:r>
      <w:r w:rsidR="009E744A" w:rsidRPr="002F12AC">
        <w:rPr>
          <w:rFonts w:ascii="標楷體" w:eastAsia="標楷體" w:hAnsi="標楷體" w:cs="新細明體" w:hint="eastAsia"/>
          <w:kern w:val="0"/>
          <w:sz w:val="25"/>
          <w:szCs w:val="25"/>
        </w:rPr>
        <w:t>網路互動教學</w:t>
      </w:r>
      <w:r w:rsidRPr="002F12AC">
        <w:rPr>
          <w:rFonts w:ascii="Times New Roman" w:eastAsia="標楷體" w:hAnsi="Times New Roman" w:hint="eastAsia"/>
        </w:rPr>
        <w:t>課程</w:t>
      </w:r>
      <w:r w:rsidRPr="004B58C1">
        <w:rPr>
          <w:rFonts w:ascii="標楷體" w:eastAsia="標楷體" w:hAnsi="標楷體" w:cs="新細明體" w:hint="eastAsia"/>
          <w:kern w:val="0"/>
          <w:sz w:val="25"/>
          <w:szCs w:val="25"/>
        </w:rPr>
        <w:t>，其</w:t>
      </w:r>
      <w:r w:rsidR="008B7ED3" w:rsidRPr="00A62929">
        <w:rPr>
          <w:rFonts w:ascii="Times New Roman" w:eastAsia="標楷體" w:hAnsi="Times New Roman"/>
        </w:rPr>
        <w:t>授課教師需於開課前一學期</w:t>
      </w:r>
      <w:r w:rsidR="00B43921" w:rsidRPr="00A62929">
        <w:rPr>
          <w:rFonts w:ascii="Times New Roman" w:eastAsia="標楷體" w:hAnsi="Times New Roman"/>
        </w:rPr>
        <w:t>提出教學計畫表</w:t>
      </w:r>
      <w:r w:rsidR="00A850F1" w:rsidRPr="00A62929">
        <w:rPr>
          <w:rFonts w:ascii="Times New Roman" w:eastAsia="標楷體" w:hAnsi="Times New Roman"/>
        </w:rPr>
        <w:t>、</w:t>
      </w:r>
      <w:proofErr w:type="gramStart"/>
      <w:r w:rsidR="00A850F1" w:rsidRPr="00A62929">
        <w:rPr>
          <w:rFonts w:ascii="Times New Roman" w:eastAsia="標楷體" w:hAnsi="Times New Roman"/>
        </w:rPr>
        <w:t>課綱</w:t>
      </w:r>
      <w:r w:rsidR="00B43921" w:rsidRPr="00A62929">
        <w:rPr>
          <w:rFonts w:ascii="Times New Roman" w:eastAsia="標楷體" w:hAnsi="Times New Roman"/>
        </w:rPr>
        <w:t>及</w:t>
      </w:r>
      <w:proofErr w:type="gramEnd"/>
      <w:r w:rsidR="00B43921" w:rsidRPr="00A62929">
        <w:rPr>
          <w:rFonts w:ascii="Times New Roman" w:eastAsia="標楷體" w:hAnsi="Times New Roman"/>
        </w:rPr>
        <w:t>該課程之</w:t>
      </w:r>
      <w:r w:rsidR="00A850F1" w:rsidRPr="00A62929">
        <w:rPr>
          <w:rFonts w:ascii="Times New Roman" w:eastAsia="標楷體" w:hAnsi="Times New Roman"/>
        </w:rPr>
        <w:t>數位教材資料，提送</w:t>
      </w:r>
      <w:r w:rsidR="001B45DD">
        <w:rPr>
          <w:rFonts w:ascii="Times New Roman" w:eastAsia="標楷體" w:hAnsi="Times New Roman" w:hint="eastAsia"/>
        </w:rPr>
        <w:t>三級</w:t>
      </w:r>
      <w:r w:rsidR="006941E6">
        <w:rPr>
          <w:rFonts w:ascii="Times New Roman" w:eastAsia="標楷體" w:hAnsi="Times New Roman" w:hint="eastAsia"/>
        </w:rPr>
        <w:t>課程委員會</w:t>
      </w:r>
      <w:r w:rsidR="001B45DD">
        <w:rPr>
          <w:rFonts w:ascii="Times New Roman" w:eastAsia="標楷體" w:hAnsi="Times New Roman" w:hint="eastAsia"/>
        </w:rPr>
        <w:t>及</w:t>
      </w:r>
      <w:r w:rsidR="006941E6">
        <w:rPr>
          <w:rFonts w:ascii="Times New Roman" w:eastAsia="標楷體" w:hAnsi="Times New Roman"/>
        </w:rPr>
        <w:t>數位學習推動委員會</w:t>
      </w:r>
      <w:r w:rsidR="00A850F1" w:rsidRPr="00C1794B">
        <w:rPr>
          <w:rFonts w:ascii="Times New Roman" w:eastAsia="標楷體" w:hAnsi="Times New Roman"/>
        </w:rPr>
        <w:t>審查</w:t>
      </w:r>
      <w:r w:rsidR="003D4DAD">
        <w:rPr>
          <w:rFonts w:ascii="Times New Roman" w:eastAsia="標楷體" w:hAnsi="Times New Roman" w:hint="eastAsia"/>
        </w:rPr>
        <w:t>，</w:t>
      </w:r>
      <w:r w:rsidR="00E25213" w:rsidRPr="00E25213">
        <w:rPr>
          <w:rFonts w:ascii="Times New Roman" w:eastAsia="標楷體" w:hAnsi="Times New Roman" w:hint="eastAsia"/>
          <w:color w:val="FF0000"/>
        </w:rPr>
        <w:t>並由</w:t>
      </w:r>
      <w:r w:rsidR="00E25213" w:rsidRPr="00E25213">
        <w:rPr>
          <w:rFonts w:ascii="Times New Roman" w:eastAsia="標楷體" w:hAnsi="Times New Roman"/>
          <w:color w:val="FF0000"/>
        </w:rPr>
        <w:t>數位學習推動委員會</w:t>
      </w:r>
      <w:r w:rsidR="00826808" w:rsidRPr="00826808">
        <w:rPr>
          <w:rFonts w:ascii="Times New Roman" w:eastAsia="標楷體" w:hAnsi="Times New Roman" w:hint="eastAsia"/>
          <w:b/>
          <w:color w:val="FF0000"/>
        </w:rPr>
        <w:t>於必要時</w:t>
      </w:r>
      <w:r w:rsidR="00E25213" w:rsidRPr="00826808">
        <w:rPr>
          <w:rFonts w:ascii="Times New Roman" w:eastAsia="標楷體" w:hAnsi="Times New Roman" w:hint="eastAsia"/>
          <w:b/>
          <w:color w:val="FF0000"/>
        </w:rPr>
        <w:t>邀請校外專家</w:t>
      </w:r>
      <w:r w:rsidR="003D4DAD" w:rsidRPr="00826808">
        <w:rPr>
          <w:rFonts w:ascii="Times New Roman" w:eastAsia="標楷體" w:hAnsi="Times New Roman"/>
          <w:b/>
          <w:color w:val="FF0000"/>
        </w:rPr>
        <w:t>審查</w:t>
      </w:r>
      <w:r w:rsidR="00E25213">
        <w:rPr>
          <w:rFonts w:ascii="Times New Roman" w:eastAsia="標楷體" w:hAnsi="Times New Roman" w:hint="eastAsia"/>
        </w:rPr>
        <w:t>，</w:t>
      </w:r>
      <w:r w:rsidR="003D4DAD" w:rsidRPr="00BD2F57">
        <w:rPr>
          <w:rFonts w:ascii="Times New Roman" w:eastAsia="標楷體" w:hAnsi="Times New Roman" w:hint="eastAsia"/>
        </w:rPr>
        <w:t>通過後方可開課</w:t>
      </w:r>
      <w:r w:rsidR="00A850F1" w:rsidRPr="00BD2F57">
        <w:rPr>
          <w:rFonts w:ascii="Times New Roman" w:eastAsia="標楷體" w:hAnsi="Times New Roman"/>
        </w:rPr>
        <w:t>。</w:t>
      </w:r>
    </w:p>
    <w:p w:rsidR="00280343" w:rsidRPr="00BD2F57" w:rsidRDefault="00A850F1" w:rsidP="0046220B">
      <w:pPr>
        <w:pStyle w:val="a3"/>
        <w:numPr>
          <w:ilvl w:val="0"/>
          <w:numId w:val="3"/>
        </w:numPr>
        <w:spacing w:line="400" w:lineRule="exact"/>
        <w:ind w:leftChars="0" w:left="1560" w:hanging="482"/>
        <w:jc w:val="both"/>
        <w:rPr>
          <w:rFonts w:ascii="Times New Roman" w:eastAsia="標楷體" w:hAnsi="Times New Roman"/>
        </w:rPr>
      </w:pPr>
      <w:r w:rsidRPr="00A62929">
        <w:rPr>
          <w:rFonts w:ascii="Times New Roman" w:eastAsia="標楷體" w:hAnsi="Times New Roman"/>
        </w:rPr>
        <w:t>審查通過之課程</w:t>
      </w:r>
      <w:r w:rsidR="00BA72BB">
        <w:rPr>
          <w:rFonts w:ascii="Times New Roman" w:eastAsia="標楷體" w:hAnsi="Times New Roman" w:hint="eastAsia"/>
        </w:rPr>
        <w:t>由</w:t>
      </w:r>
      <w:r w:rsidR="001B45DD">
        <w:rPr>
          <w:rFonts w:ascii="Times New Roman" w:eastAsia="標楷體" w:hAnsi="Times New Roman"/>
        </w:rPr>
        <w:t>數位學習推動委員會</w:t>
      </w:r>
      <w:r w:rsidRPr="00A62929">
        <w:rPr>
          <w:rFonts w:ascii="Times New Roman" w:eastAsia="標楷體" w:hAnsi="Times New Roman"/>
        </w:rPr>
        <w:t>進行評選及審核</w:t>
      </w:r>
      <w:r w:rsidRPr="00BD2F57">
        <w:rPr>
          <w:rFonts w:ascii="Times New Roman" w:eastAsia="標楷體" w:hAnsi="Times New Roman"/>
        </w:rPr>
        <w:t>，以評定補助</w:t>
      </w:r>
      <w:r w:rsidR="00737E5B" w:rsidRPr="00BD2F57">
        <w:rPr>
          <w:rFonts w:ascii="Times New Roman" w:eastAsia="標楷體" w:hAnsi="Times New Roman" w:hint="eastAsia"/>
        </w:rPr>
        <w:t>項目或補助</w:t>
      </w:r>
      <w:r w:rsidRPr="00BD2F57">
        <w:rPr>
          <w:rFonts w:ascii="Times New Roman" w:eastAsia="標楷體" w:hAnsi="Times New Roman"/>
        </w:rPr>
        <w:t>金額。</w:t>
      </w:r>
    </w:p>
    <w:p w:rsidR="00477B8E" w:rsidRPr="00AC5B08" w:rsidRDefault="00477B8E" w:rsidP="0046220B">
      <w:pPr>
        <w:pStyle w:val="a3"/>
        <w:numPr>
          <w:ilvl w:val="0"/>
          <w:numId w:val="1"/>
        </w:numPr>
        <w:spacing w:line="400" w:lineRule="exact"/>
        <w:ind w:leftChars="0" w:left="1134" w:hanging="1134"/>
        <w:jc w:val="both"/>
        <w:rPr>
          <w:rFonts w:ascii="Times New Roman" w:eastAsia="標楷體" w:hAnsi="Times New Roman"/>
        </w:rPr>
      </w:pPr>
      <w:r w:rsidRPr="00AC5B08">
        <w:rPr>
          <w:rFonts w:ascii="Times New Roman" w:eastAsia="標楷體" w:hAnsi="Times New Roman"/>
        </w:rPr>
        <w:t>課程補助與獎勵</w:t>
      </w:r>
    </w:p>
    <w:p w:rsidR="004D3D8C" w:rsidRPr="00A62929" w:rsidRDefault="00E95645" w:rsidP="0046220B">
      <w:pPr>
        <w:pStyle w:val="a3"/>
        <w:numPr>
          <w:ilvl w:val="0"/>
          <w:numId w:val="12"/>
        </w:numPr>
        <w:spacing w:line="400" w:lineRule="exact"/>
        <w:ind w:leftChars="0" w:left="1560" w:hanging="482"/>
        <w:jc w:val="both"/>
        <w:rPr>
          <w:rFonts w:ascii="Times New Roman" w:eastAsia="標楷體" w:hAnsi="Times New Roman"/>
        </w:rPr>
      </w:pPr>
      <w:r w:rsidRPr="00A62929">
        <w:rPr>
          <w:rFonts w:ascii="Times New Roman" w:eastAsia="標楷體" w:hAnsi="Times New Roman"/>
        </w:rPr>
        <w:t>審查通過之</w:t>
      </w:r>
      <w:r w:rsidR="009E744A" w:rsidRPr="002F12AC">
        <w:rPr>
          <w:rFonts w:ascii="標楷體" w:eastAsia="標楷體" w:hAnsi="標楷體" w:cs="新細明體" w:hint="eastAsia"/>
          <w:kern w:val="0"/>
          <w:sz w:val="25"/>
          <w:szCs w:val="25"/>
        </w:rPr>
        <w:t>網路互動教學</w:t>
      </w:r>
      <w:r w:rsidRPr="002F12AC">
        <w:rPr>
          <w:rFonts w:ascii="Times New Roman" w:eastAsia="標楷體" w:hAnsi="Times New Roman"/>
        </w:rPr>
        <w:t>課</w:t>
      </w:r>
      <w:r w:rsidR="007B1E08" w:rsidRPr="002F12AC">
        <w:rPr>
          <w:rFonts w:ascii="Times New Roman" w:eastAsia="標楷體" w:hAnsi="Times New Roman"/>
        </w:rPr>
        <w:t>程，</w:t>
      </w:r>
      <w:r w:rsidR="00DF6EAC" w:rsidRPr="002F12AC">
        <w:rPr>
          <w:rFonts w:ascii="Times New Roman" w:eastAsia="標楷體" w:hAnsi="Times New Roman" w:hint="eastAsia"/>
        </w:rPr>
        <w:t>本校依其教學情</w:t>
      </w:r>
      <w:r w:rsidR="00033B47" w:rsidRPr="002F12AC">
        <w:rPr>
          <w:rFonts w:ascii="Times New Roman" w:eastAsia="標楷體" w:hAnsi="Times New Roman" w:hint="eastAsia"/>
        </w:rPr>
        <w:t>形</w:t>
      </w:r>
      <w:r w:rsidR="00DF6EAC" w:rsidRPr="002F12AC">
        <w:rPr>
          <w:rFonts w:ascii="Times New Roman" w:eastAsia="標楷體" w:hAnsi="Times New Roman" w:hint="eastAsia"/>
        </w:rPr>
        <w:t>酌予</w:t>
      </w:r>
      <w:r w:rsidR="007B1E08" w:rsidRPr="002F12AC">
        <w:rPr>
          <w:rFonts w:ascii="Times New Roman" w:eastAsia="標楷體" w:hAnsi="Times New Roman"/>
        </w:rPr>
        <w:t>補助教材製作及教學助理等費用</w:t>
      </w:r>
      <w:r w:rsidR="007B1E08" w:rsidRPr="002F12AC">
        <w:rPr>
          <w:rFonts w:ascii="Times New Roman" w:eastAsia="標楷體" w:hAnsi="Times New Roman" w:hint="eastAsia"/>
        </w:rPr>
        <w:t>，依</w:t>
      </w:r>
      <w:r w:rsidR="00033B47" w:rsidRPr="002F12AC">
        <w:rPr>
          <w:rFonts w:ascii="Times New Roman" w:eastAsia="標楷體" w:hAnsi="Times New Roman" w:hint="eastAsia"/>
        </w:rPr>
        <w:t>課程實施成效</w:t>
      </w:r>
      <w:r w:rsidR="007B1E08" w:rsidRPr="002F12AC">
        <w:rPr>
          <w:rFonts w:ascii="Times New Roman" w:eastAsia="標楷體" w:hAnsi="Times New Roman" w:hint="eastAsia"/>
        </w:rPr>
        <w:t>給予不同補助金額</w:t>
      </w:r>
      <w:r w:rsidR="007B1E08" w:rsidRPr="002F12AC">
        <w:rPr>
          <w:rFonts w:ascii="Times New Roman" w:eastAsia="標楷體" w:hAnsi="Times New Roman"/>
        </w:rPr>
        <w:t>，</w:t>
      </w:r>
      <w:r w:rsidR="00DF6EAC" w:rsidRPr="002F12AC">
        <w:rPr>
          <w:rFonts w:ascii="Times New Roman" w:eastAsia="標楷體" w:hAnsi="Times New Roman" w:hint="eastAsia"/>
        </w:rPr>
        <w:t>實際補助費用視當年度經費狀況</w:t>
      </w:r>
      <w:r w:rsidR="00BD2F57" w:rsidRPr="002F12AC">
        <w:rPr>
          <w:rFonts w:ascii="Times New Roman" w:eastAsia="標楷體" w:hAnsi="Times New Roman" w:hint="eastAsia"/>
        </w:rPr>
        <w:t>調整</w:t>
      </w:r>
      <w:r w:rsidR="007B1E08" w:rsidRPr="002F12AC">
        <w:rPr>
          <w:rFonts w:ascii="Times New Roman" w:eastAsia="標楷體" w:hAnsi="Times New Roman" w:hint="eastAsia"/>
        </w:rPr>
        <w:t>，</w:t>
      </w:r>
      <w:r w:rsidRPr="00A62929">
        <w:rPr>
          <w:rFonts w:ascii="Times New Roman" w:eastAsia="標楷體" w:hAnsi="Times New Roman"/>
        </w:rPr>
        <w:t>核銷項目及</w:t>
      </w:r>
      <w:r w:rsidR="002B1469" w:rsidRPr="00A62929">
        <w:rPr>
          <w:rFonts w:ascii="Times New Roman" w:eastAsia="標楷體" w:hAnsi="Times New Roman"/>
        </w:rPr>
        <w:t>核銷</w:t>
      </w:r>
      <w:r w:rsidRPr="00A62929">
        <w:rPr>
          <w:rFonts w:ascii="Times New Roman" w:eastAsia="標楷體" w:hAnsi="Times New Roman"/>
        </w:rPr>
        <w:t>流程須符合本校經費使用之相關規定</w:t>
      </w:r>
      <w:r w:rsidR="00CB5FED" w:rsidRPr="00A62929">
        <w:rPr>
          <w:rFonts w:ascii="Times New Roman" w:eastAsia="標楷體" w:hAnsi="Times New Roman"/>
        </w:rPr>
        <w:t>；若已獲</w:t>
      </w:r>
      <w:r w:rsidR="00684D3D" w:rsidRPr="00A62929">
        <w:rPr>
          <w:rFonts w:ascii="Times New Roman" w:eastAsia="標楷體" w:hAnsi="Times New Roman"/>
        </w:rPr>
        <w:t>其他單位</w:t>
      </w:r>
      <w:r w:rsidR="00CB5FED" w:rsidRPr="00A62929">
        <w:rPr>
          <w:rFonts w:ascii="Times New Roman" w:eastAsia="標楷體" w:hAnsi="Times New Roman"/>
        </w:rPr>
        <w:t>補助，則不予補助</w:t>
      </w:r>
      <w:r w:rsidRPr="00A62929">
        <w:rPr>
          <w:rFonts w:ascii="Times New Roman" w:eastAsia="標楷體" w:hAnsi="Times New Roman"/>
        </w:rPr>
        <w:t>。</w:t>
      </w:r>
    </w:p>
    <w:p w:rsidR="00A62929" w:rsidRPr="0046220B" w:rsidRDefault="00A62929" w:rsidP="0046220B">
      <w:pPr>
        <w:pStyle w:val="a3"/>
        <w:numPr>
          <w:ilvl w:val="0"/>
          <w:numId w:val="12"/>
        </w:numPr>
        <w:spacing w:line="400" w:lineRule="exact"/>
        <w:ind w:leftChars="0" w:left="1560" w:hanging="482"/>
        <w:jc w:val="both"/>
        <w:rPr>
          <w:rFonts w:ascii="Times New Roman" w:eastAsia="標楷體" w:hAnsi="Times New Roman"/>
        </w:rPr>
      </w:pPr>
      <w:r w:rsidRPr="00A62929">
        <w:rPr>
          <w:rFonts w:ascii="Times New Roman" w:eastAsia="標楷體" w:hAnsi="Times New Roman"/>
        </w:rPr>
        <w:t>教師每教授</w:t>
      </w:r>
      <w:r w:rsidRPr="002F12AC">
        <w:rPr>
          <w:rFonts w:ascii="Times New Roman" w:eastAsia="標楷體" w:hAnsi="Times New Roman"/>
        </w:rPr>
        <w:t>一門</w:t>
      </w:r>
      <w:r w:rsidR="0046220B" w:rsidRPr="002F12AC">
        <w:rPr>
          <w:rFonts w:ascii="標楷體" w:eastAsia="標楷體" w:hAnsi="標楷體" w:cs="新細明體" w:hint="eastAsia"/>
          <w:kern w:val="0"/>
          <w:sz w:val="25"/>
          <w:szCs w:val="25"/>
        </w:rPr>
        <w:t>網路互動教學</w:t>
      </w:r>
      <w:r w:rsidRPr="00A62929">
        <w:rPr>
          <w:rFonts w:ascii="Times New Roman" w:eastAsia="標楷體" w:hAnsi="Times New Roman"/>
        </w:rPr>
        <w:t>課程，於第一次開課時，其授課時數得增加</w:t>
      </w:r>
      <w:r w:rsidRPr="00A62929">
        <w:rPr>
          <w:rFonts w:ascii="Times New Roman" w:eastAsia="標楷體" w:hAnsi="Times New Roman"/>
        </w:rPr>
        <w:t>0.5</w:t>
      </w:r>
      <w:r w:rsidRPr="00A62929">
        <w:rPr>
          <w:rFonts w:ascii="Times New Roman" w:eastAsia="標楷體" w:hAnsi="Times New Roman"/>
        </w:rPr>
        <w:t>倍計算。倍數之計算係依照該科目原始時數為基準，依二項以上之規定而增加計算授課時數時，合計最多仍以不超過</w:t>
      </w:r>
      <w:r w:rsidRPr="0046220B">
        <w:rPr>
          <w:rFonts w:ascii="Times New Roman" w:eastAsia="標楷體" w:hAnsi="Times New Roman"/>
        </w:rPr>
        <w:t>1</w:t>
      </w:r>
      <w:r w:rsidRPr="0046220B">
        <w:rPr>
          <w:rFonts w:ascii="Times New Roman" w:eastAsia="標楷體" w:hAnsi="Times New Roman"/>
        </w:rPr>
        <w:t>倍為限</w:t>
      </w:r>
      <w:r w:rsidR="00193F83" w:rsidRPr="0046220B">
        <w:rPr>
          <w:rFonts w:ascii="Times New Roman" w:eastAsia="標楷體" w:hAnsi="Times New Roman" w:hint="eastAsia"/>
        </w:rPr>
        <w:t>，其授課相關規定需符合「大學遠距教學實施辦法」</w:t>
      </w:r>
      <w:r w:rsidRPr="0046220B">
        <w:rPr>
          <w:rFonts w:ascii="Times New Roman" w:eastAsia="標楷體" w:hAnsi="Times New Roman"/>
        </w:rPr>
        <w:t>。</w:t>
      </w:r>
    </w:p>
    <w:p w:rsidR="00A62929" w:rsidRPr="00AC5B08" w:rsidRDefault="00A62929" w:rsidP="0046220B">
      <w:pPr>
        <w:pStyle w:val="a3"/>
        <w:numPr>
          <w:ilvl w:val="0"/>
          <w:numId w:val="12"/>
        </w:numPr>
        <w:spacing w:line="400" w:lineRule="exact"/>
        <w:ind w:leftChars="0" w:left="1560" w:hanging="482"/>
        <w:jc w:val="both"/>
        <w:rPr>
          <w:rFonts w:ascii="Times New Roman" w:eastAsia="標楷體" w:hAnsi="Times New Roman"/>
        </w:rPr>
      </w:pPr>
      <w:r w:rsidRPr="00A62929">
        <w:rPr>
          <w:rFonts w:ascii="Times New Roman" w:eastAsia="標楷體" w:hAnsi="Times New Roman"/>
        </w:rPr>
        <w:t>多位教師共同擔任同一課程時，其課程時數以均分為原則，如其</w:t>
      </w:r>
      <w:proofErr w:type="gramStart"/>
      <w:r w:rsidRPr="00A62929">
        <w:rPr>
          <w:rFonts w:ascii="Times New Roman" w:eastAsia="標楷體" w:hAnsi="Times New Roman"/>
        </w:rPr>
        <w:t>時數非均等</w:t>
      </w:r>
      <w:proofErr w:type="gramEnd"/>
      <w:r w:rsidRPr="00A62929">
        <w:rPr>
          <w:rFonts w:ascii="Times New Roman" w:eastAsia="標楷體" w:hAnsi="Times New Roman"/>
        </w:rPr>
        <w:t>時，由開課單位確認分配給各授課教師。如有特殊授課時數計算，</w:t>
      </w:r>
      <w:r w:rsidR="00D81BC2">
        <w:rPr>
          <w:rFonts w:ascii="Times New Roman" w:eastAsia="標楷體" w:hAnsi="Times New Roman" w:hint="eastAsia"/>
        </w:rPr>
        <w:t>須</w:t>
      </w:r>
      <w:r w:rsidRPr="00A62929">
        <w:rPr>
          <w:rFonts w:ascii="Times New Roman" w:eastAsia="標楷體" w:hAnsi="Times New Roman"/>
        </w:rPr>
        <w:t>經</w:t>
      </w:r>
      <w:proofErr w:type="gramStart"/>
      <w:r w:rsidRPr="00A62929">
        <w:rPr>
          <w:rFonts w:ascii="Times New Roman" w:eastAsia="標楷體" w:hAnsi="Times New Roman"/>
        </w:rPr>
        <w:t>院課委</w:t>
      </w:r>
      <w:proofErr w:type="gramEnd"/>
      <w:r w:rsidRPr="00A62929">
        <w:rPr>
          <w:rFonts w:ascii="Times New Roman" w:eastAsia="標楷體" w:hAnsi="Times New Roman"/>
        </w:rPr>
        <w:t>會審核並經校長核可後送教務處備查</w:t>
      </w:r>
      <w:r w:rsidRPr="00AC5B08">
        <w:rPr>
          <w:rFonts w:ascii="Times New Roman" w:eastAsia="標楷體" w:hAnsi="Times New Roman"/>
        </w:rPr>
        <w:t>。</w:t>
      </w:r>
    </w:p>
    <w:p w:rsidR="002D10FF" w:rsidRDefault="002D10FF" w:rsidP="0046220B">
      <w:pPr>
        <w:pStyle w:val="a3"/>
        <w:numPr>
          <w:ilvl w:val="0"/>
          <w:numId w:val="12"/>
        </w:numPr>
        <w:spacing w:line="400" w:lineRule="exact"/>
        <w:ind w:leftChars="0" w:left="1560" w:hanging="482"/>
        <w:jc w:val="both"/>
        <w:rPr>
          <w:rFonts w:ascii="Times New Roman" w:eastAsia="標楷體" w:hAnsi="Times New Roman"/>
        </w:rPr>
      </w:pPr>
      <w:r w:rsidRPr="00AC5B08">
        <w:rPr>
          <w:rFonts w:ascii="Times New Roman" w:eastAsia="標楷體" w:hAnsi="Times New Roman"/>
        </w:rPr>
        <w:t>多位教師合授課程，須於申請開課前將授課鐘點及教材補助之分</w:t>
      </w:r>
      <w:r w:rsidRPr="00AC5B08">
        <w:rPr>
          <w:rFonts w:ascii="Times New Roman" w:eastAsia="標楷體" w:hAnsi="Times New Roman" w:hint="eastAsia"/>
        </w:rPr>
        <w:t>配</w:t>
      </w:r>
      <w:r w:rsidRPr="00AC5B08">
        <w:rPr>
          <w:rFonts w:ascii="Times New Roman" w:eastAsia="標楷體" w:hAnsi="Times New Roman"/>
        </w:rPr>
        <w:t>比例明訂清楚。</w:t>
      </w:r>
    </w:p>
    <w:p w:rsidR="00D5592A" w:rsidRPr="0046220B" w:rsidRDefault="00D5592A" w:rsidP="0046220B">
      <w:pPr>
        <w:pStyle w:val="a3"/>
        <w:numPr>
          <w:ilvl w:val="0"/>
          <w:numId w:val="12"/>
        </w:numPr>
        <w:spacing w:line="400" w:lineRule="exact"/>
        <w:ind w:leftChars="0" w:left="1560" w:hanging="482"/>
        <w:jc w:val="both"/>
        <w:rPr>
          <w:rFonts w:ascii="Times New Roman" w:eastAsia="標楷體" w:hAnsi="Times New Roman"/>
        </w:rPr>
      </w:pPr>
      <w:r>
        <w:rPr>
          <w:rFonts w:ascii="Times New Roman" w:eastAsia="標楷體" w:hAnsi="Times New Roman" w:hint="eastAsia"/>
        </w:rPr>
        <w:t>所有授課內容須符合本校</w:t>
      </w:r>
      <w:r w:rsidRPr="0046220B">
        <w:rPr>
          <w:rFonts w:ascii="標楷體" w:eastAsia="標楷體" w:hAnsi="標楷體" w:cs="新細明體" w:hint="eastAsia"/>
          <w:kern w:val="0"/>
          <w:sz w:val="25"/>
          <w:szCs w:val="25"/>
        </w:rPr>
        <w:t>數位學習實施作業規範，若教師於開課後有不符相關規範者，經通知後得限期改善，未改善者得扣減授課時數或追回獎勵補助費用，並改回原面授課程。</w:t>
      </w:r>
    </w:p>
    <w:p w:rsidR="00477B8E" w:rsidRPr="00AC5B08" w:rsidRDefault="00477B8E" w:rsidP="0046220B">
      <w:pPr>
        <w:pStyle w:val="a3"/>
        <w:numPr>
          <w:ilvl w:val="0"/>
          <w:numId w:val="1"/>
        </w:numPr>
        <w:spacing w:line="400" w:lineRule="exact"/>
        <w:ind w:leftChars="0" w:left="1134" w:hanging="1134"/>
        <w:jc w:val="both"/>
        <w:rPr>
          <w:rFonts w:ascii="Times New Roman" w:eastAsia="標楷體" w:hAnsi="Times New Roman"/>
        </w:rPr>
      </w:pPr>
      <w:r w:rsidRPr="00AC5B08">
        <w:rPr>
          <w:rFonts w:ascii="Times New Roman" w:eastAsia="標楷體" w:hAnsi="Times New Roman"/>
        </w:rPr>
        <w:t>學分授予或修習證明</w:t>
      </w:r>
    </w:p>
    <w:p w:rsidR="004D3D8C" w:rsidRPr="00A62929" w:rsidRDefault="00EF6BB0" w:rsidP="0046220B">
      <w:pPr>
        <w:pStyle w:val="a3"/>
        <w:numPr>
          <w:ilvl w:val="0"/>
          <w:numId w:val="13"/>
        </w:numPr>
        <w:spacing w:line="400" w:lineRule="exact"/>
        <w:ind w:leftChars="0" w:left="1560" w:hanging="482"/>
        <w:jc w:val="both"/>
        <w:rPr>
          <w:rFonts w:ascii="Times New Roman" w:eastAsia="標楷體" w:hAnsi="Times New Roman"/>
        </w:rPr>
      </w:pPr>
      <w:r w:rsidRPr="00AC5B08">
        <w:rPr>
          <w:rFonts w:ascii="Times New Roman" w:eastAsia="標楷體" w:hAnsi="Times New Roman"/>
        </w:rPr>
        <w:t>本校學生</w:t>
      </w:r>
      <w:r w:rsidRPr="002F12AC">
        <w:rPr>
          <w:rFonts w:ascii="Times New Roman" w:eastAsia="標楷體" w:hAnsi="Times New Roman"/>
        </w:rPr>
        <w:t>修習</w:t>
      </w:r>
      <w:r w:rsidR="009E744A" w:rsidRPr="002F12AC">
        <w:rPr>
          <w:rFonts w:ascii="標楷體" w:eastAsia="標楷體" w:hAnsi="標楷體" w:cs="新細明體" w:hint="eastAsia"/>
          <w:kern w:val="0"/>
          <w:sz w:val="25"/>
          <w:szCs w:val="25"/>
        </w:rPr>
        <w:t>網路互動教學</w:t>
      </w:r>
      <w:r w:rsidRPr="002F12AC">
        <w:rPr>
          <w:rFonts w:ascii="Times New Roman" w:eastAsia="標楷體" w:hAnsi="Times New Roman"/>
        </w:rPr>
        <w:t>課</w:t>
      </w:r>
      <w:r w:rsidRPr="00A62929">
        <w:rPr>
          <w:rFonts w:ascii="Times New Roman" w:eastAsia="標楷體" w:hAnsi="Times New Roman"/>
        </w:rPr>
        <w:t>程，經授課教師評核成績及格</w:t>
      </w:r>
      <w:r w:rsidR="004A7A84">
        <w:rPr>
          <w:rFonts w:ascii="Times New Roman" w:eastAsia="標楷體" w:hAnsi="Times New Roman" w:hint="eastAsia"/>
        </w:rPr>
        <w:t>者</w:t>
      </w:r>
      <w:r w:rsidRPr="00A62929">
        <w:rPr>
          <w:rFonts w:ascii="Times New Roman" w:eastAsia="標楷體" w:hAnsi="Times New Roman"/>
        </w:rPr>
        <w:t>，</w:t>
      </w:r>
      <w:r w:rsidR="004A7A84">
        <w:rPr>
          <w:rFonts w:ascii="Times New Roman" w:eastAsia="標楷體" w:hAnsi="Times New Roman" w:hint="eastAsia"/>
        </w:rPr>
        <w:t>得</w:t>
      </w:r>
      <w:r w:rsidRPr="00A62929">
        <w:rPr>
          <w:rFonts w:ascii="Times New Roman" w:eastAsia="標楷體" w:hAnsi="Times New Roman"/>
        </w:rPr>
        <w:t>授予該課程學分</w:t>
      </w:r>
      <w:r w:rsidR="004A7A84">
        <w:rPr>
          <w:rFonts w:ascii="Times New Roman" w:eastAsia="標楷體" w:hAnsi="Times New Roman" w:hint="eastAsia"/>
        </w:rPr>
        <w:t>，其考核標準與一般課程相同，並得</w:t>
      </w:r>
      <w:proofErr w:type="gramStart"/>
      <w:r w:rsidR="004A7A84">
        <w:rPr>
          <w:rFonts w:ascii="Times New Roman" w:eastAsia="標楷體" w:hAnsi="Times New Roman" w:hint="eastAsia"/>
        </w:rPr>
        <w:t>併</w:t>
      </w:r>
      <w:proofErr w:type="gramEnd"/>
      <w:r w:rsidR="004A7A84">
        <w:rPr>
          <w:rFonts w:ascii="Times New Roman" w:eastAsia="標楷體" w:hAnsi="Times New Roman" w:hint="eastAsia"/>
        </w:rPr>
        <w:t>計畢業學</w:t>
      </w:r>
      <w:r w:rsidR="004A7A84" w:rsidRPr="00C216AF">
        <w:rPr>
          <w:rFonts w:ascii="Times New Roman" w:eastAsia="標楷體" w:hAnsi="Times New Roman" w:hint="eastAsia"/>
        </w:rPr>
        <w:t>分</w:t>
      </w:r>
      <w:r w:rsidRPr="00C216AF">
        <w:rPr>
          <w:rFonts w:ascii="Times New Roman" w:eastAsia="標楷體" w:hAnsi="Times New Roman"/>
        </w:rPr>
        <w:t>。</w:t>
      </w:r>
      <w:r w:rsidR="006B1106" w:rsidRPr="00C216AF">
        <w:rPr>
          <w:rFonts w:ascii="Times New Roman" w:eastAsia="標楷體" w:hAnsi="Times New Roman" w:hint="eastAsia"/>
        </w:rPr>
        <w:t>學生學位之取得，</w:t>
      </w:r>
      <w:r w:rsidR="004A7A84" w:rsidRPr="00C216AF">
        <w:rPr>
          <w:rFonts w:ascii="Times New Roman" w:eastAsia="標楷體" w:hAnsi="Times New Roman" w:hint="eastAsia"/>
        </w:rPr>
        <w:t>其修習</w:t>
      </w:r>
      <w:r w:rsidR="009E744A" w:rsidRPr="00C216AF">
        <w:rPr>
          <w:rFonts w:ascii="標楷體" w:eastAsia="標楷體" w:hAnsi="標楷體" w:cs="新細明體" w:hint="eastAsia"/>
          <w:kern w:val="0"/>
          <w:sz w:val="25"/>
          <w:szCs w:val="25"/>
        </w:rPr>
        <w:t>網路互動教學</w:t>
      </w:r>
      <w:r w:rsidR="005241B3" w:rsidRPr="00C216AF">
        <w:rPr>
          <w:rFonts w:ascii="Times New Roman" w:eastAsia="標楷體" w:hAnsi="Times New Roman"/>
        </w:rPr>
        <w:t>課程</w:t>
      </w:r>
      <w:r w:rsidR="005241B3" w:rsidRPr="00C216AF">
        <w:rPr>
          <w:rFonts w:ascii="Times New Roman" w:eastAsia="標楷體" w:hAnsi="Times New Roman" w:hint="eastAsia"/>
        </w:rPr>
        <w:t>之學分（含抵免學分）總數不得超過畢業總學分數之二分之一</w:t>
      </w:r>
      <w:r w:rsidR="009F7493" w:rsidRPr="00C216AF">
        <w:rPr>
          <w:rFonts w:ascii="Times New Roman" w:eastAsia="標楷體" w:hAnsi="Times New Roman" w:hint="eastAsia"/>
        </w:rPr>
        <w:t>。</w:t>
      </w:r>
    </w:p>
    <w:p w:rsidR="00EF6BB0" w:rsidRPr="00C216AF" w:rsidRDefault="00EF6BB0" w:rsidP="0046220B">
      <w:pPr>
        <w:pStyle w:val="a3"/>
        <w:numPr>
          <w:ilvl w:val="0"/>
          <w:numId w:val="13"/>
        </w:numPr>
        <w:spacing w:line="400" w:lineRule="exact"/>
        <w:ind w:leftChars="0" w:left="1560" w:hanging="482"/>
        <w:jc w:val="both"/>
        <w:rPr>
          <w:rFonts w:ascii="Times New Roman" w:eastAsia="標楷體" w:hAnsi="Times New Roman"/>
        </w:rPr>
      </w:pPr>
      <w:r w:rsidRPr="00A62929">
        <w:rPr>
          <w:rFonts w:ascii="Times New Roman" w:eastAsia="標楷體" w:hAnsi="Times New Roman"/>
        </w:rPr>
        <w:t>非本校學生修習</w:t>
      </w:r>
      <w:r w:rsidR="007B1E08">
        <w:rPr>
          <w:rFonts w:ascii="Times New Roman" w:eastAsia="標楷體" w:hAnsi="Times New Roman" w:hint="eastAsia"/>
        </w:rPr>
        <w:t>數位學習</w:t>
      </w:r>
      <w:r w:rsidRPr="00A62929">
        <w:rPr>
          <w:rFonts w:ascii="Times New Roman" w:eastAsia="標楷體" w:hAnsi="Times New Roman"/>
        </w:rPr>
        <w:t>課程，</w:t>
      </w:r>
      <w:r w:rsidR="00D81BC2">
        <w:rPr>
          <w:rFonts w:ascii="Times New Roman" w:eastAsia="標楷體" w:hAnsi="Times New Roman" w:hint="eastAsia"/>
        </w:rPr>
        <w:t>須</w:t>
      </w:r>
      <w:r w:rsidRPr="00A62929">
        <w:rPr>
          <w:rFonts w:ascii="Times New Roman" w:eastAsia="標楷體" w:hAnsi="Times New Roman"/>
        </w:rPr>
        <w:t>繳交學分費用</w:t>
      </w:r>
      <w:r w:rsidR="00555F9E">
        <w:rPr>
          <w:rFonts w:ascii="Times New Roman" w:eastAsia="標楷體" w:hAnsi="Times New Roman" w:hint="eastAsia"/>
        </w:rPr>
        <w:t>（</w:t>
      </w:r>
      <w:r w:rsidR="001B45DD">
        <w:rPr>
          <w:rFonts w:ascii="Times New Roman" w:eastAsia="標楷體" w:hAnsi="Times New Roman" w:hint="eastAsia"/>
        </w:rPr>
        <w:t>如屬與本校簽訂校際合作互惠選課者除外</w:t>
      </w:r>
      <w:r w:rsidR="00555F9E">
        <w:rPr>
          <w:rFonts w:ascii="Times New Roman" w:eastAsia="標楷體" w:hAnsi="Times New Roman" w:hint="eastAsia"/>
        </w:rPr>
        <w:t>）</w:t>
      </w:r>
      <w:r w:rsidRPr="00A62929">
        <w:rPr>
          <w:rFonts w:ascii="Times New Roman" w:eastAsia="標楷體" w:hAnsi="Times New Roman"/>
        </w:rPr>
        <w:t>，並經授課教師評核成績及格後，授予該課程學分</w:t>
      </w:r>
      <w:r w:rsidRPr="00C216AF">
        <w:rPr>
          <w:rFonts w:ascii="Times New Roman" w:eastAsia="標楷體" w:hAnsi="Times New Roman"/>
        </w:rPr>
        <w:t>或修習證明。</w:t>
      </w:r>
    </w:p>
    <w:p w:rsidR="006B1106" w:rsidRPr="0023111E" w:rsidRDefault="006B1106" w:rsidP="0046220B">
      <w:pPr>
        <w:pStyle w:val="a3"/>
        <w:numPr>
          <w:ilvl w:val="0"/>
          <w:numId w:val="1"/>
        </w:numPr>
        <w:spacing w:line="400" w:lineRule="exact"/>
        <w:ind w:leftChars="0" w:left="1134" w:hanging="1134"/>
        <w:jc w:val="both"/>
        <w:rPr>
          <w:rFonts w:ascii="Times New Roman" w:eastAsia="標楷體" w:hAnsi="Times New Roman"/>
        </w:rPr>
      </w:pPr>
      <w:r w:rsidRPr="00C216AF">
        <w:rPr>
          <w:rFonts w:ascii="Times New Roman" w:eastAsia="標楷體" w:hAnsi="Times New Roman" w:hint="eastAsia"/>
        </w:rPr>
        <w:t>系所若開設數位學習在職專班，應依教育部申請審核及認證相關規定，報</w:t>
      </w:r>
      <w:r w:rsidR="00F77A1A" w:rsidRPr="00C216AF">
        <w:rPr>
          <w:rFonts w:ascii="Times New Roman" w:eastAsia="標楷體" w:hAnsi="Times New Roman" w:hint="eastAsia"/>
        </w:rPr>
        <w:t>教</w:t>
      </w:r>
      <w:r w:rsidR="00F77A1A" w:rsidRPr="0023111E">
        <w:rPr>
          <w:rFonts w:ascii="Times New Roman" w:eastAsia="標楷體" w:hAnsi="Times New Roman" w:hint="eastAsia"/>
        </w:rPr>
        <w:lastRenderedPageBreak/>
        <w:t>育</w:t>
      </w:r>
      <w:r w:rsidRPr="0023111E">
        <w:rPr>
          <w:rFonts w:ascii="Times New Roman" w:eastAsia="標楷體" w:hAnsi="Times New Roman" w:hint="eastAsia"/>
        </w:rPr>
        <w:t>部審查通過後始得為之。</w:t>
      </w:r>
      <w:r w:rsidR="00F77A1A" w:rsidRPr="0023111E">
        <w:rPr>
          <w:rFonts w:ascii="Times New Roman" w:eastAsia="標楷體" w:hAnsi="Times New Roman" w:hint="eastAsia"/>
        </w:rPr>
        <w:t>其各相關規定依教育部「大學遠距教學實施辦法」辦理</w:t>
      </w:r>
      <w:r w:rsidRPr="0023111E">
        <w:rPr>
          <w:rFonts w:ascii="Times New Roman" w:eastAsia="標楷體" w:hAnsi="Times New Roman" w:hint="eastAsia"/>
        </w:rPr>
        <w:t>。</w:t>
      </w:r>
    </w:p>
    <w:p w:rsidR="00477B8E" w:rsidRPr="0023111E" w:rsidRDefault="00477B8E" w:rsidP="0046220B">
      <w:pPr>
        <w:pStyle w:val="a3"/>
        <w:numPr>
          <w:ilvl w:val="0"/>
          <w:numId w:val="1"/>
        </w:numPr>
        <w:spacing w:line="400" w:lineRule="exact"/>
        <w:ind w:leftChars="0" w:left="1134" w:hanging="1134"/>
        <w:jc w:val="both"/>
        <w:rPr>
          <w:rFonts w:ascii="Times New Roman" w:eastAsia="標楷體" w:hAnsi="Times New Roman"/>
        </w:rPr>
      </w:pPr>
      <w:r w:rsidRPr="0023111E">
        <w:rPr>
          <w:rFonts w:ascii="Times New Roman" w:eastAsia="標楷體" w:hAnsi="Times New Roman"/>
        </w:rPr>
        <w:t>著作權</w:t>
      </w:r>
      <w:r w:rsidR="00F769A4" w:rsidRPr="0023111E">
        <w:rPr>
          <w:rFonts w:ascii="Times New Roman" w:eastAsia="標楷體" w:hAnsi="Times New Roman"/>
        </w:rPr>
        <w:t>之相關規範</w:t>
      </w:r>
    </w:p>
    <w:p w:rsidR="00104156" w:rsidRPr="0023111E" w:rsidRDefault="0022405D" w:rsidP="0046220B">
      <w:pPr>
        <w:pStyle w:val="a3"/>
        <w:numPr>
          <w:ilvl w:val="0"/>
          <w:numId w:val="14"/>
        </w:numPr>
        <w:spacing w:line="400" w:lineRule="exact"/>
        <w:ind w:leftChars="0" w:left="1560" w:hanging="482"/>
        <w:jc w:val="both"/>
        <w:rPr>
          <w:rFonts w:ascii="Times New Roman" w:eastAsia="標楷體" w:hAnsi="Times New Roman"/>
        </w:rPr>
      </w:pPr>
      <w:r w:rsidRPr="0023111E">
        <w:rPr>
          <w:rFonts w:ascii="Times New Roman" w:eastAsia="標楷體" w:hAnsi="Times New Roman"/>
        </w:rPr>
        <w:t>審核通過之數位學習課程，</w:t>
      </w:r>
      <w:r w:rsidR="00333320" w:rsidRPr="0023111E">
        <w:rPr>
          <w:rFonts w:ascii="Times New Roman" w:eastAsia="標楷體" w:hAnsi="Times New Roman" w:hint="eastAsia"/>
        </w:rPr>
        <w:t>其教師完成製作的數位課程內容及教材，著作財產權及著作人格權屬本人所有，但國立東華大學可以本校名義，不分地域、時間、及媒體形式，非營利性地無償為各種之利用，且可再授權第三人利用。本人並</w:t>
      </w:r>
      <w:r w:rsidR="00333320" w:rsidRPr="0023111E">
        <w:rPr>
          <w:rFonts w:ascii="Times New Roman" w:eastAsia="標楷體" w:hAnsi="Times New Roman"/>
        </w:rPr>
        <w:t>同意不行使著作人格權</w:t>
      </w:r>
      <w:r w:rsidR="00333320" w:rsidRPr="0023111E">
        <w:rPr>
          <w:rFonts w:ascii="Times New Roman" w:eastAsia="標楷體" w:hAnsi="Times New Roman" w:hint="eastAsia"/>
        </w:rPr>
        <w:t>。</w:t>
      </w:r>
      <w:r w:rsidRPr="0023111E">
        <w:rPr>
          <w:rFonts w:ascii="Times New Roman" w:eastAsia="標楷體" w:hAnsi="Times New Roman"/>
        </w:rPr>
        <w:t>其他著作授權、申請專利、技術移轉及權益分配等相關事宜，由受補助教師依政府科學技術研究發展成果歸屬及運用辦法及其他相關法令規定辦理。</w:t>
      </w:r>
    </w:p>
    <w:p w:rsidR="00104156" w:rsidRPr="00B85FDA" w:rsidRDefault="007B1E08" w:rsidP="0046220B">
      <w:pPr>
        <w:pStyle w:val="a3"/>
        <w:numPr>
          <w:ilvl w:val="0"/>
          <w:numId w:val="14"/>
        </w:numPr>
        <w:overflowPunct w:val="0"/>
        <w:spacing w:line="400" w:lineRule="exact"/>
        <w:ind w:leftChars="0" w:left="1560" w:hanging="482"/>
        <w:jc w:val="both"/>
        <w:rPr>
          <w:rFonts w:ascii="Times New Roman" w:eastAsia="標楷體" w:hAnsi="Times New Roman"/>
        </w:rPr>
      </w:pPr>
      <w:r w:rsidRPr="0023111E">
        <w:rPr>
          <w:rFonts w:ascii="Times New Roman" w:eastAsia="標楷體" w:hAnsi="Times New Roman" w:hint="eastAsia"/>
        </w:rPr>
        <w:t>數位學習</w:t>
      </w:r>
      <w:r w:rsidR="00104156" w:rsidRPr="0023111E">
        <w:rPr>
          <w:rFonts w:ascii="Times New Roman" w:eastAsia="標楷體" w:hAnsi="Times New Roman"/>
        </w:rPr>
        <w:t>課程之教學計畫表、</w:t>
      </w:r>
      <w:proofErr w:type="gramStart"/>
      <w:r w:rsidR="00104156" w:rsidRPr="0023111E">
        <w:rPr>
          <w:rFonts w:ascii="Times New Roman" w:eastAsia="標楷體" w:hAnsi="Times New Roman"/>
        </w:rPr>
        <w:t>課綱及</w:t>
      </w:r>
      <w:proofErr w:type="gramEnd"/>
      <w:r w:rsidR="00104156" w:rsidRPr="0023111E">
        <w:rPr>
          <w:rFonts w:ascii="Times New Roman" w:eastAsia="標楷體" w:hAnsi="Times New Roman"/>
        </w:rPr>
        <w:t>該課程之教材內容、</w:t>
      </w:r>
      <w:r w:rsidR="009C6C24" w:rsidRPr="0023111E">
        <w:rPr>
          <w:rFonts w:ascii="Times New Roman" w:eastAsia="標楷體" w:hAnsi="Times New Roman"/>
        </w:rPr>
        <w:t>師生</w:t>
      </w:r>
      <w:r w:rsidR="00104156" w:rsidRPr="00B85FDA">
        <w:rPr>
          <w:rFonts w:ascii="Times New Roman" w:eastAsia="標楷體" w:hAnsi="Times New Roman"/>
        </w:rPr>
        <w:t>互動紀錄、</w:t>
      </w:r>
      <w:r w:rsidR="009C6C24" w:rsidRPr="00B85FDA">
        <w:rPr>
          <w:rFonts w:ascii="Times New Roman" w:eastAsia="標楷體" w:hAnsi="Times New Roman"/>
        </w:rPr>
        <w:t>考核</w:t>
      </w:r>
      <w:r w:rsidR="00104156" w:rsidRPr="00B85FDA">
        <w:rPr>
          <w:rFonts w:ascii="Times New Roman" w:eastAsia="標楷體" w:hAnsi="Times New Roman"/>
        </w:rPr>
        <w:t>評量、作業報告等</w:t>
      </w:r>
      <w:r w:rsidR="009C6C24" w:rsidRPr="00B85FDA">
        <w:rPr>
          <w:rFonts w:ascii="Times New Roman" w:eastAsia="標楷體" w:hAnsi="Times New Roman"/>
        </w:rPr>
        <w:t>所有相關資料，須依資料屬性分別由各所屬權責單位永久保存，以供日後分析統計、查詢</w:t>
      </w:r>
      <w:r w:rsidR="00C44F7A" w:rsidRPr="00B85FDA">
        <w:rPr>
          <w:rFonts w:ascii="Times New Roman" w:eastAsia="標楷體" w:hAnsi="Times New Roman" w:hint="eastAsia"/>
        </w:rPr>
        <w:t>、評鑑</w:t>
      </w:r>
      <w:r w:rsidR="009C6C24" w:rsidRPr="00B85FDA">
        <w:rPr>
          <w:rFonts w:ascii="Times New Roman" w:eastAsia="標楷體" w:hAnsi="Times New Roman"/>
        </w:rPr>
        <w:t>及審閱相關資料之用。</w:t>
      </w:r>
    </w:p>
    <w:p w:rsidR="009C6C24" w:rsidRPr="00B85FDA" w:rsidRDefault="00016D0F" w:rsidP="0046220B">
      <w:pPr>
        <w:pStyle w:val="a3"/>
        <w:numPr>
          <w:ilvl w:val="0"/>
          <w:numId w:val="14"/>
        </w:numPr>
        <w:overflowPunct w:val="0"/>
        <w:spacing w:line="400" w:lineRule="exact"/>
        <w:ind w:leftChars="0" w:left="1560" w:hanging="482"/>
        <w:jc w:val="both"/>
        <w:rPr>
          <w:rFonts w:ascii="Times New Roman" w:eastAsia="標楷體" w:hAnsi="Times New Roman"/>
        </w:rPr>
      </w:pPr>
      <w:r w:rsidRPr="00B85FDA">
        <w:rPr>
          <w:rFonts w:ascii="Times New Roman" w:eastAsia="標楷體" w:hAnsi="Times New Roman"/>
        </w:rPr>
        <w:t>本校得評估</w:t>
      </w:r>
      <w:r w:rsidR="007B1E08" w:rsidRPr="00B85FDA">
        <w:rPr>
          <w:rFonts w:ascii="Times New Roman" w:eastAsia="標楷體" w:hAnsi="Times New Roman" w:hint="eastAsia"/>
        </w:rPr>
        <w:t>數位學習</w:t>
      </w:r>
      <w:r w:rsidRPr="00B85FDA">
        <w:rPr>
          <w:rFonts w:ascii="Times New Roman" w:eastAsia="標楷體" w:hAnsi="Times New Roman"/>
        </w:rPr>
        <w:t>課程之實施及教學成效，作為日後推動</w:t>
      </w:r>
      <w:r w:rsidR="007B1E08" w:rsidRPr="00B85FDA">
        <w:rPr>
          <w:rFonts w:ascii="Times New Roman" w:eastAsia="標楷體" w:hAnsi="Times New Roman" w:hint="eastAsia"/>
        </w:rPr>
        <w:t>數位學習</w:t>
      </w:r>
      <w:r w:rsidRPr="00B85FDA">
        <w:rPr>
          <w:rFonts w:ascii="Times New Roman" w:eastAsia="標楷體" w:hAnsi="Times New Roman"/>
        </w:rPr>
        <w:t>課程之參考依據。</w:t>
      </w:r>
    </w:p>
    <w:p w:rsidR="00ED2AE5" w:rsidRPr="00333320" w:rsidRDefault="007B1E08" w:rsidP="00A86128">
      <w:pPr>
        <w:pStyle w:val="a3"/>
        <w:numPr>
          <w:ilvl w:val="0"/>
          <w:numId w:val="14"/>
        </w:numPr>
        <w:overflowPunct w:val="0"/>
        <w:spacing w:line="400" w:lineRule="exact"/>
        <w:ind w:leftChars="0" w:left="1560" w:hanging="482"/>
        <w:jc w:val="both"/>
        <w:rPr>
          <w:rFonts w:ascii="Times New Roman" w:eastAsia="標楷體" w:hAnsi="Times New Roman"/>
        </w:rPr>
      </w:pPr>
      <w:r w:rsidRPr="00333320">
        <w:rPr>
          <w:rFonts w:ascii="Times New Roman" w:eastAsia="標楷體" w:hAnsi="Times New Roman" w:hint="eastAsia"/>
        </w:rPr>
        <w:t>數位學習</w:t>
      </w:r>
      <w:r w:rsidR="00016D0F" w:rsidRPr="00333320">
        <w:rPr>
          <w:rFonts w:ascii="Times New Roman" w:eastAsia="標楷體" w:hAnsi="Times New Roman"/>
        </w:rPr>
        <w:t>課程及平台之使用</w:t>
      </w:r>
      <w:r w:rsidR="00E81031" w:rsidRPr="00333320">
        <w:rPr>
          <w:rFonts w:ascii="Times New Roman" w:eastAsia="標楷體" w:hAnsi="Times New Roman"/>
        </w:rPr>
        <w:t>，僅作為教學活動及課程互動之用途</w:t>
      </w:r>
      <w:r w:rsidR="00016D0F" w:rsidRPr="00333320">
        <w:rPr>
          <w:rFonts w:ascii="Times New Roman" w:eastAsia="標楷體" w:hAnsi="Times New Roman"/>
        </w:rPr>
        <w:t>，應遵守</w:t>
      </w:r>
      <w:r w:rsidR="00B85FDA" w:rsidRPr="00333320">
        <w:rPr>
          <w:rFonts w:ascii="Times New Roman" w:eastAsia="標楷體" w:hAnsi="Times New Roman" w:hint="eastAsia"/>
        </w:rPr>
        <w:t>著作</w:t>
      </w:r>
      <w:r w:rsidR="00016D0F" w:rsidRPr="00333320">
        <w:rPr>
          <w:rFonts w:ascii="Times New Roman" w:eastAsia="標楷體" w:hAnsi="Times New Roman"/>
        </w:rPr>
        <w:t>財產權之相關規定，如有涉及</w:t>
      </w:r>
      <w:proofErr w:type="gramStart"/>
      <w:r w:rsidR="00016D0F" w:rsidRPr="00333320">
        <w:rPr>
          <w:rFonts w:ascii="Times New Roman" w:eastAsia="標楷體" w:hAnsi="Times New Roman"/>
        </w:rPr>
        <w:t>犯罪或侵權</w:t>
      </w:r>
      <w:proofErr w:type="gramEnd"/>
      <w:r w:rsidR="00016D0F" w:rsidRPr="00333320">
        <w:rPr>
          <w:rFonts w:ascii="Times New Roman" w:eastAsia="標楷體" w:hAnsi="Times New Roman"/>
        </w:rPr>
        <w:t>行為得依相關法律辦理。</w:t>
      </w:r>
    </w:p>
    <w:p w:rsidR="00193B3A" w:rsidRPr="00C216AF" w:rsidRDefault="00193B3A" w:rsidP="007579EA">
      <w:pPr>
        <w:pStyle w:val="a3"/>
        <w:numPr>
          <w:ilvl w:val="0"/>
          <w:numId w:val="1"/>
        </w:numPr>
        <w:spacing w:line="400" w:lineRule="exact"/>
        <w:ind w:leftChars="0" w:left="1134" w:hanging="1134"/>
        <w:jc w:val="both"/>
        <w:rPr>
          <w:rFonts w:ascii="標楷體" w:eastAsia="標楷體" w:hAnsi="標楷體"/>
        </w:rPr>
      </w:pPr>
      <w:r w:rsidRPr="00C216AF">
        <w:rPr>
          <w:rFonts w:ascii="標楷體" w:eastAsia="標楷體" w:hAnsi="標楷體" w:hint="eastAsia"/>
        </w:rPr>
        <w:t>有關成績之評量依本校相關規定辦理。</w:t>
      </w:r>
    </w:p>
    <w:p w:rsidR="00F769A4" w:rsidRPr="00C216AF" w:rsidRDefault="00193B3A" w:rsidP="007579EA">
      <w:pPr>
        <w:pStyle w:val="a3"/>
        <w:numPr>
          <w:ilvl w:val="0"/>
          <w:numId w:val="1"/>
        </w:numPr>
        <w:spacing w:line="400" w:lineRule="exact"/>
        <w:ind w:leftChars="0" w:left="1134" w:hanging="1134"/>
        <w:jc w:val="both"/>
        <w:rPr>
          <w:rFonts w:ascii="Times New Roman" w:eastAsia="標楷體" w:hAnsi="Times New Roman"/>
        </w:rPr>
      </w:pPr>
      <w:r w:rsidRPr="00C216AF">
        <w:rPr>
          <w:rFonts w:ascii="Times New Roman" w:eastAsia="標楷體" w:hAnsi="Times New Roman" w:hint="eastAsia"/>
        </w:rPr>
        <w:t>本校數位學習推動委員會應於每學期期末評鑑各</w:t>
      </w:r>
      <w:r w:rsidR="00C216AF" w:rsidRPr="002F12AC">
        <w:rPr>
          <w:rFonts w:ascii="標楷體" w:eastAsia="標楷體" w:hAnsi="標楷體" w:cs="新細明體" w:hint="eastAsia"/>
          <w:kern w:val="0"/>
          <w:sz w:val="25"/>
          <w:szCs w:val="25"/>
        </w:rPr>
        <w:t>網路互動教學課程</w:t>
      </w:r>
      <w:r w:rsidRPr="00C216AF">
        <w:rPr>
          <w:rFonts w:ascii="Times New Roman" w:eastAsia="標楷體" w:hAnsi="Times New Roman" w:hint="eastAsia"/>
        </w:rPr>
        <w:t>之教學實施狀況及審閱相關資料，成效良好者，得予獎勵。評鑑辦法及獎勵規定另訂之。</w:t>
      </w:r>
    </w:p>
    <w:p w:rsidR="00CF335D" w:rsidRPr="00C216AF" w:rsidRDefault="00CF335D" w:rsidP="007579EA">
      <w:pPr>
        <w:pStyle w:val="a3"/>
        <w:numPr>
          <w:ilvl w:val="0"/>
          <w:numId w:val="1"/>
        </w:numPr>
        <w:spacing w:line="400" w:lineRule="exact"/>
        <w:ind w:leftChars="0" w:left="1134" w:hanging="1134"/>
        <w:jc w:val="both"/>
        <w:rPr>
          <w:rFonts w:ascii="Times New Roman" w:eastAsia="標楷體" w:hAnsi="Times New Roman"/>
        </w:rPr>
      </w:pPr>
      <w:r w:rsidRPr="002F12AC">
        <w:rPr>
          <w:rFonts w:ascii="Times New Roman" w:eastAsia="標楷體" w:hAnsi="Times New Roman" w:hint="eastAsia"/>
        </w:rPr>
        <w:t>本辦法所需經費由本校相關經費項下支應，</w:t>
      </w:r>
      <w:r w:rsidRPr="00C216AF">
        <w:rPr>
          <w:rFonts w:ascii="Times New Roman" w:eastAsia="標楷體" w:hAnsi="Times New Roman" w:hint="eastAsia"/>
        </w:rPr>
        <w:t>並由本校數位學習推動委員會依年度經費額度及審查、評鑑結果調整分配</w:t>
      </w:r>
      <w:r w:rsidR="002F4269" w:rsidRPr="00C216AF">
        <w:rPr>
          <w:rFonts w:ascii="Times New Roman" w:eastAsia="標楷體" w:hAnsi="Times New Roman" w:hint="eastAsia"/>
        </w:rPr>
        <w:t>補助或獎勵之額度</w:t>
      </w:r>
      <w:r w:rsidRPr="00C216AF">
        <w:rPr>
          <w:rFonts w:ascii="Times New Roman" w:eastAsia="標楷體" w:hAnsi="Times New Roman" w:hint="eastAsia"/>
        </w:rPr>
        <w:t>。</w:t>
      </w:r>
    </w:p>
    <w:p w:rsidR="00193B3A" w:rsidRPr="00A62929" w:rsidRDefault="00193B3A" w:rsidP="007579EA">
      <w:pPr>
        <w:pStyle w:val="a3"/>
        <w:numPr>
          <w:ilvl w:val="0"/>
          <w:numId w:val="1"/>
        </w:numPr>
        <w:spacing w:line="400" w:lineRule="exact"/>
        <w:ind w:leftChars="0" w:left="1134" w:hanging="1134"/>
        <w:jc w:val="both"/>
        <w:rPr>
          <w:rFonts w:ascii="Times New Roman" w:eastAsia="標楷體" w:hAnsi="Times New Roman"/>
        </w:rPr>
      </w:pPr>
      <w:r w:rsidRPr="00A62929">
        <w:rPr>
          <w:rFonts w:ascii="Times New Roman" w:eastAsia="標楷體" w:hAnsi="Times New Roman"/>
        </w:rPr>
        <w:t>本辦法如有未盡事宜，悉依本校學則及相關辦法辦理。</w:t>
      </w:r>
    </w:p>
    <w:p w:rsidR="00F769A4" w:rsidRPr="00C216AF" w:rsidRDefault="00F769A4" w:rsidP="007579EA">
      <w:pPr>
        <w:pStyle w:val="a3"/>
        <w:numPr>
          <w:ilvl w:val="0"/>
          <w:numId w:val="1"/>
        </w:numPr>
        <w:spacing w:line="400" w:lineRule="exact"/>
        <w:ind w:leftChars="0" w:left="1134" w:hanging="1134"/>
        <w:jc w:val="both"/>
        <w:rPr>
          <w:rFonts w:ascii="Times New Roman" w:eastAsia="標楷體" w:hAnsi="Times New Roman"/>
        </w:rPr>
      </w:pPr>
      <w:r w:rsidRPr="00C216AF">
        <w:rPr>
          <w:rFonts w:ascii="Times New Roman" w:eastAsia="標楷體" w:hAnsi="Times New Roman"/>
        </w:rPr>
        <w:t>本辦法經</w:t>
      </w:r>
      <w:r w:rsidR="00683B91" w:rsidRPr="00C216AF">
        <w:rPr>
          <w:rFonts w:ascii="Times New Roman" w:eastAsia="標楷體" w:hAnsi="Times New Roman" w:hint="eastAsia"/>
        </w:rPr>
        <w:t>數位學習推動委員會及教務</w:t>
      </w:r>
      <w:r w:rsidRPr="00C216AF">
        <w:rPr>
          <w:rFonts w:ascii="Times New Roman" w:eastAsia="標楷體" w:hAnsi="Times New Roman"/>
        </w:rPr>
        <w:t>會議通過，</w:t>
      </w:r>
      <w:r w:rsidR="00DB23B9" w:rsidRPr="00C216AF">
        <w:rPr>
          <w:rFonts w:ascii="Times New Roman" w:eastAsia="標楷體" w:hAnsi="Times New Roman" w:hint="eastAsia"/>
        </w:rPr>
        <w:t>並</w:t>
      </w:r>
      <w:r w:rsidR="005049DF" w:rsidRPr="00C216AF">
        <w:rPr>
          <w:rFonts w:ascii="Times New Roman" w:eastAsia="標楷體" w:hAnsi="Times New Roman"/>
        </w:rPr>
        <w:t>陳請</w:t>
      </w:r>
      <w:r w:rsidRPr="00C216AF">
        <w:rPr>
          <w:rFonts w:ascii="Times New Roman" w:eastAsia="標楷體" w:hAnsi="Times New Roman"/>
        </w:rPr>
        <w:t>校長</w:t>
      </w:r>
      <w:r w:rsidR="005049DF" w:rsidRPr="00C216AF">
        <w:rPr>
          <w:rFonts w:ascii="Times New Roman" w:eastAsia="標楷體" w:hAnsi="Times New Roman"/>
        </w:rPr>
        <w:t>核定</w:t>
      </w:r>
      <w:r w:rsidRPr="00C216AF">
        <w:rPr>
          <w:rFonts w:ascii="Times New Roman" w:eastAsia="標楷體" w:hAnsi="Times New Roman"/>
        </w:rPr>
        <w:t>後實施，修正時亦同。</w:t>
      </w:r>
    </w:p>
    <w:p w:rsidR="005049DF" w:rsidRPr="00A62929" w:rsidRDefault="005049DF" w:rsidP="007F7069">
      <w:pPr>
        <w:pStyle w:val="a3"/>
        <w:spacing w:line="400" w:lineRule="exact"/>
        <w:ind w:leftChars="0" w:left="0"/>
        <w:rPr>
          <w:rFonts w:ascii="Times New Roman" w:eastAsia="標楷體" w:hAnsi="Times New Roman"/>
        </w:rPr>
      </w:pPr>
      <w:r w:rsidRPr="00A62929">
        <w:rPr>
          <w:rFonts w:ascii="Times New Roman" w:eastAsia="標楷體" w:hAnsi="Times New Roman"/>
        </w:rPr>
        <w:t>－以下空白－</w:t>
      </w:r>
    </w:p>
    <w:sectPr w:rsidR="005049DF" w:rsidRPr="00A62929" w:rsidSect="00A8263C">
      <w:footerReference w:type="default" r:id="rId9"/>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6AC" w:rsidRDefault="000266AC" w:rsidP="00064503">
      <w:r>
        <w:separator/>
      </w:r>
    </w:p>
  </w:endnote>
  <w:endnote w:type="continuationSeparator" w:id="0">
    <w:p w:rsidR="000266AC" w:rsidRDefault="000266AC" w:rsidP="0006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魏碑體 Std W7">
    <w:altName w:val="Malgun Gothic Semilight"/>
    <w:panose1 w:val="00000000000000000000"/>
    <w:charset w:val="88"/>
    <w:family w:val="script"/>
    <w:notTrueType/>
    <w:pitch w:val="variable"/>
    <w:sig w:usb0="A00002FF"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68473"/>
      <w:docPartObj>
        <w:docPartGallery w:val="Page Numbers (Bottom of Page)"/>
        <w:docPartUnique/>
      </w:docPartObj>
    </w:sdtPr>
    <w:sdtEndPr/>
    <w:sdtContent>
      <w:p w:rsidR="007F7069" w:rsidRDefault="00E65B0C">
        <w:pPr>
          <w:pStyle w:val="a8"/>
          <w:jc w:val="center"/>
        </w:pPr>
        <w:r>
          <w:fldChar w:fldCharType="begin"/>
        </w:r>
        <w:r w:rsidR="000A1436">
          <w:instrText xml:space="preserve"> PAGE   \* MERGEFORMAT </w:instrText>
        </w:r>
        <w:r>
          <w:fldChar w:fldCharType="separate"/>
        </w:r>
        <w:r w:rsidR="00356431" w:rsidRPr="00356431">
          <w:rPr>
            <w:noProof/>
            <w:lang w:val="zh-TW"/>
          </w:rPr>
          <w:t>3</w:t>
        </w:r>
        <w:r>
          <w:rPr>
            <w:noProof/>
            <w:lang w:val="zh-TW"/>
          </w:rPr>
          <w:fldChar w:fldCharType="end"/>
        </w:r>
      </w:p>
    </w:sdtContent>
  </w:sdt>
  <w:p w:rsidR="007F7069" w:rsidRDefault="007F70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6AC" w:rsidRDefault="000266AC" w:rsidP="00064503">
      <w:r>
        <w:separator/>
      </w:r>
    </w:p>
  </w:footnote>
  <w:footnote w:type="continuationSeparator" w:id="0">
    <w:p w:rsidR="000266AC" w:rsidRDefault="000266AC" w:rsidP="00064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8BE"/>
    <w:multiLevelType w:val="hybridMultilevel"/>
    <w:tmpl w:val="A1A6E3E0"/>
    <w:lvl w:ilvl="0" w:tplc="D45E98B4">
      <w:start w:val="1"/>
      <w:numFmt w:val="taiwaneseCountingThousand"/>
      <w:suff w:val="space"/>
      <w:lvlText w:val="（%1）"/>
      <w:lvlJc w:val="left"/>
      <w:pPr>
        <w:ind w:left="170" w:hanging="1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A967EC"/>
    <w:multiLevelType w:val="hybridMultilevel"/>
    <w:tmpl w:val="2964634E"/>
    <w:lvl w:ilvl="0" w:tplc="A280AA64">
      <w:start w:val="1"/>
      <w:numFmt w:val="taiwaneseCountingThousand"/>
      <w:lvlText w:val="第%1條"/>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7D69F5"/>
    <w:multiLevelType w:val="hybridMultilevel"/>
    <w:tmpl w:val="E320D934"/>
    <w:lvl w:ilvl="0" w:tplc="55E4682C">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2E471B8D"/>
    <w:multiLevelType w:val="hybridMultilevel"/>
    <w:tmpl w:val="5EA0848C"/>
    <w:lvl w:ilvl="0" w:tplc="2EE2FF3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56D6414"/>
    <w:multiLevelType w:val="hybridMultilevel"/>
    <w:tmpl w:val="1DA6D7FA"/>
    <w:lvl w:ilvl="0" w:tplc="2A103226">
      <w:start w:val="1"/>
      <w:numFmt w:val="taiwaneseCountingThousand"/>
      <w:lvlText w:val="%1、"/>
      <w:lvlJc w:val="left"/>
      <w:pPr>
        <w:ind w:left="960" w:hanging="480"/>
      </w:pPr>
      <w:rPr>
        <w:rFonts w:hint="eastAsia"/>
        <w:color w:val="auto"/>
        <w:shd w:val="clear" w:color="auto" w:fill="auto"/>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7725472"/>
    <w:multiLevelType w:val="hybridMultilevel"/>
    <w:tmpl w:val="B6AC9CC6"/>
    <w:lvl w:ilvl="0" w:tplc="B19660B4">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4E491137"/>
    <w:multiLevelType w:val="hybridMultilevel"/>
    <w:tmpl w:val="210AD36A"/>
    <w:lvl w:ilvl="0" w:tplc="B058CF5E">
      <w:start w:val="1"/>
      <w:numFmt w:val="taiwaneseCountingThousand"/>
      <w:lvlText w:val="%1、"/>
      <w:lvlJc w:val="left"/>
      <w:pPr>
        <w:ind w:left="170" w:hanging="17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135531"/>
    <w:multiLevelType w:val="hybridMultilevel"/>
    <w:tmpl w:val="18C8F806"/>
    <w:lvl w:ilvl="0" w:tplc="963A9A7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2C902BA"/>
    <w:multiLevelType w:val="hybridMultilevel"/>
    <w:tmpl w:val="A7AC1E36"/>
    <w:lvl w:ilvl="0" w:tplc="2EE2FF3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6FF0DB5"/>
    <w:multiLevelType w:val="hybridMultilevel"/>
    <w:tmpl w:val="30EADCE0"/>
    <w:lvl w:ilvl="0" w:tplc="B058CF5E">
      <w:start w:val="1"/>
      <w:numFmt w:val="taiwaneseCountingThousand"/>
      <w:lvlText w:val="%1、"/>
      <w:lvlJc w:val="left"/>
      <w:pPr>
        <w:ind w:left="960" w:hanging="480"/>
      </w:pPr>
      <w:rPr>
        <w:rFonts w:hint="eastAsia"/>
        <w:color w:val="auto"/>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77A1278"/>
    <w:multiLevelType w:val="hybridMultilevel"/>
    <w:tmpl w:val="60D43CCE"/>
    <w:lvl w:ilvl="0" w:tplc="09FC590A">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2BD0033"/>
    <w:multiLevelType w:val="hybridMultilevel"/>
    <w:tmpl w:val="BC2C7088"/>
    <w:lvl w:ilvl="0" w:tplc="B058CF5E">
      <w:start w:val="1"/>
      <w:numFmt w:val="taiwaneseCountingThousand"/>
      <w:suff w:val="space"/>
      <w:lvlText w:val="%1、"/>
      <w:lvlJc w:val="left"/>
      <w:pPr>
        <w:ind w:left="2090" w:hanging="170"/>
      </w:pPr>
      <w:rPr>
        <w:rFonts w:hint="eastAsia"/>
        <w:color w:val="auto"/>
        <w:lang w:val="en-US"/>
      </w:rPr>
    </w:lvl>
    <w:lvl w:ilvl="1" w:tplc="04090019">
      <w:start w:val="1"/>
      <w:numFmt w:val="ideographTraditional"/>
      <w:lvlText w:val="%2、"/>
      <w:lvlJc w:val="left"/>
      <w:pPr>
        <w:ind w:left="3770" w:hanging="480"/>
      </w:pPr>
    </w:lvl>
    <w:lvl w:ilvl="2" w:tplc="8E8C0888">
      <w:start w:val="1"/>
      <w:numFmt w:val="decimal"/>
      <w:lvlText w:val="%3."/>
      <w:lvlJc w:val="left"/>
      <w:pPr>
        <w:ind w:left="4250" w:hanging="480"/>
      </w:pPr>
      <w:rPr>
        <w:rFonts w:ascii="Times New Roman" w:hAnsi="Times New Roman" w:cs="Times New Roman" w:hint="default"/>
        <w:color w:val="0070C0"/>
        <w:sz w:val="24"/>
        <w:szCs w:val="24"/>
      </w:rPr>
    </w:lvl>
    <w:lvl w:ilvl="3" w:tplc="0409000F" w:tentative="1">
      <w:start w:val="1"/>
      <w:numFmt w:val="decimal"/>
      <w:lvlText w:val="%4."/>
      <w:lvlJc w:val="left"/>
      <w:pPr>
        <w:ind w:left="4730" w:hanging="480"/>
      </w:pPr>
    </w:lvl>
    <w:lvl w:ilvl="4" w:tplc="04090019" w:tentative="1">
      <w:start w:val="1"/>
      <w:numFmt w:val="ideographTraditional"/>
      <w:lvlText w:val="%5、"/>
      <w:lvlJc w:val="left"/>
      <w:pPr>
        <w:ind w:left="5210" w:hanging="480"/>
      </w:pPr>
    </w:lvl>
    <w:lvl w:ilvl="5" w:tplc="0409001B" w:tentative="1">
      <w:start w:val="1"/>
      <w:numFmt w:val="lowerRoman"/>
      <w:lvlText w:val="%6."/>
      <w:lvlJc w:val="right"/>
      <w:pPr>
        <w:ind w:left="5690" w:hanging="480"/>
      </w:pPr>
    </w:lvl>
    <w:lvl w:ilvl="6" w:tplc="0409000F" w:tentative="1">
      <w:start w:val="1"/>
      <w:numFmt w:val="decimal"/>
      <w:lvlText w:val="%7."/>
      <w:lvlJc w:val="left"/>
      <w:pPr>
        <w:ind w:left="6170" w:hanging="480"/>
      </w:pPr>
    </w:lvl>
    <w:lvl w:ilvl="7" w:tplc="04090019" w:tentative="1">
      <w:start w:val="1"/>
      <w:numFmt w:val="ideographTraditional"/>
      <w:lvlText w:val="%8、"/>
      <w:lvlJc w:val="left"/>
      <w:pPr>
        <w:ind w:left="6650" w:hanging="480"/>
      </w:pPr>
    </w:lvl>
    <w:lvl w:ilvl="8" w:tplc="0409001B" w:tentative="1">
      <w:start w:val="1"/>
      <w:numFmt w:val="lowerRoman"/>
      <w:lvlText w:val="%9."/>
      <w:lvlJc w:val="right"/>
      <w:pPr>
        <w:ind w:left="7130" w:hanging="480"/>
      </w:pPr>
    </w:lvl>
  </w:abstractNum>
  <w:abstractNum w:abstractNumId="12" w15:restartNumberingAfterBreak="0">
    <w:nsid w:val="76D81F32"/>
    <w:multiLevelType w:val="hybridMultilevel"/>
    <w:tmpl w:val="7EBEA55A"/>
    <w:lvl w:ilvl="0" w:tplc="04090015">
      <w:start w:val="1"/>
      <w:numFmt w:val="taiwaneseCountingThousand"/>
      <w:lvlText w:val="%1、"/>
      <w:lvlJc w:val="left"/>
      <w:pPr>
        <w:ind w:left="170" w:hanging="17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7D847FA7"/>
    <w:multiLevelType w:val="hybridMultilevel"/>
    <w:tmpl w:val="1E920884"/>
    <w:lvl w:ilvl="0" w:tplc="B058CF5E">
      <w:start w:val="1"/>
      <w:numFmt w:val="taiwaneseCountingThousand"/>
      <w:lvlText w:val="%1、"/>
      <w:lvlJc w:val="left"/>
      <w:pPr>
        <w:ind w:left="170" w:hanging="170"/>
      </w:pPr>
      <w:rPr>
        <w:rFonts w:hint="eastAsia"/>
        <w:color w:val="auto"/>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7DB25700"/>
    <w:multiLevelType w:val="hybridMultilevel"/>
    <w:tmpl w:val="8D4E7C1A"/>
    <w:lvl w:ilvl="0" w:tplc="5ACA4E72">
      <w:start w:val="1"/>
      <w:numFmt w:val="taiwaneseCountingThousand"/>
      <w:suff w:val="space"/>
      <w:lvlText w:val="（%1）"/>
      <w:lvlJc w:val="left"/>
      <w:pPr>
        <w:ind w:left="170" w:hanging="17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11"/>
  </w:num>
  <w:num w:numId="3">
    <w:abstractNumId w:val="12"/>
  </w:num>
  <w:num w:numId="4">
    <w:abstractNumId w:val="3"/>
  </w:num>
  <w:num w:numId="5">
    <w:abstractNumId w:val="14"/>
  </w:num>
  <w:num w:numId="6">
    <w:abstractNumId w:val="0"/>
  </w:num>
  <w:num w:numId="7">
    <w:abstractNumId w:val="7"/>
  </w:num>
  <w:num w:numId="8">
    <w:abstractNumId w:val="8"/>
  </w:num>
  <w:num w:numId="9">
    <w:abstractNumId w:val="10"/>
  </w:num>
  <w:num w:numId="10">
    <w:abstractNumId w:val="2"/>
  </w:num>
  <w:num w:numId="11">
    <w:abstractNumId w:val="5"/>
  </w:num>
  <w:num w:numId="12">
    <w:abstractNumId w:val="13"/>
  </w:num>
  <w:num w:numId="13">
    <w:abstractNumId w:val="6"/>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07"/>
    <w:rsid w:val="000103CB"/>
    <w:rsid w:val="00016D0F"/>
    <w:rsid w:val="000266AC"/>
    <w:rsid w:val="00033B47"/>
    <w:rsid w:val="000417AA"/>
    <w:rsid w:val="000422C7"/>
    <w:rsid w:val="00052146"/>
    <w:rsid w:val="00064503"/>
    <w:rsid w:val="00072F18"/>
    <w:rsid w:val="0007431D"/>
    <w:rsid w:val="0007687E"/>
    <w:rsid w:val="0007771A"/>
    <w:rsid w:val="00085497"/>
    <w:rsid w:val="00085E1A"/>
    <w:rsid w:val="0009085B"/>
    <w:rsid w:val="00094A8E"/>
    <w:rsid w:val="000978CD"/>
    <w:rsid w:val="000A07DA"/>
    <w:rsid w:val="000A1436"/>
    <w:rsid w:val="000A4EA7"/>
    <w:rsid w:val="000B14AA"/>
    <w:rsid w:val="000B520F"/>
    <w:rsid w:val="000C39D2"/>
    <w:rsid w:val="000C6C5B"/>
    <w:rsid w:val="000E318A"/>
    <w:rsid w:val="000E318B"/>
    <w:rsid w:val="000E687E"/>
    <w:rsid w:val="00104156"/>
    <w:rsid w:val="0011337F"/>
    <w:rsid w:val="001224CB"/>
    <w:rsid w:val="001350D7"/>
    <w:rsid w:val="00137DCF"/>
    <w:rsid w:val="001458B1"/>
    <w:rsid w:val="00150F41"/>
    <w:rsid w:val="00164537"/>
    <w:rsid w:val="00166258"/>
    <w:rsid w:val="00173F86"/>
    <w:rsid w:val="00176CD7"/>
    <w:rsid w:val="001913ED"/>
    <w:rsid w:val="00193B3A"/>
    <w:rsid w:val="00193F83"/>
    <w:rsid w:val="00197AF4"/>
    <w:rsid w:val="001A6118"/>
    <w:rsid w:val="001B1776"/>
    <w:rsid w:val="001B45DD"/>
    <w:rsid w:val="001C3B07"/>
    <w:rsid w:val="001C6D29"/>
    <w:rsid w:val="001D0B09"/>
    <w:rsid w:val="001D5146"/>
    <w:rsid w:val="001F592E"/>
    <w:rsid w:val="0021454D"/>
    <w:rsid w:val="00217B5D"/>
    <w:rsid w:val="0022405D"/>
    <w:rsid w:val="0023111E"/>
    <w:rsid w:val="00246C85"/>
    <w:rsid w:val="002506BF"/>
    <w:rsid w:val="002674A1"/>
    <w:rsid w:val="00271A27"/>
    <w:rsid w:val="00280343"/>
    <w:rsid w:val="00281550"/>
    <w:rsid w:val="002A616B"/>
    <w:rsid w:val="002B1469"/>
    <w:rsid w:val="002C3651"/>
    <w:rsid w:val="002C3FF6"/>
    <w:rsid w:val="002D10F3"/>
    <w:rsid w:val="002D10FF"/>
    <w:rsid w:val="002D368C"/>
    <w:rsid w:val="002D56A0"/>
    <w:rsid w:val="002F12AC"/>
    <w:rsid w:val="002F4269"/>
    <w:rsid w:val="0030382B"/>
    <w:rsid w:val="003148D0"/>
    <w:rsid w:val="00323CA3"/>
    <w:rsid w:val="003252DA"/>
    <w:rsid w:val="00333320"/>
    <w:rsid w:val="00336E3C"/>
    <w:rsid w:val="00347BD6"/>
    <w:rsid w:val="00347F3A"/>
    <w:rsid w:val="0035078D"/>
    <w:rsid w:val="00350ED8"/>
    <w:rsid w:val="00356431"/>
    <w:rsid w:val="003776ED"/>
    <w:rsid w:val="003B454F"/>
    <w:rsid w:val="003C56C7"/>
    <w:rsid w:val="003D4DAD"/>
    <w:rsid w:val="003D6574"/>
    <w:rsid w:val="003E4686"/>
    <w:rsid w:val="003E71F3"/>
    <w:rsid w:val="004052F6"/>
    <w:rsid w:val="004116ED"/>
    <w:rsid w:val="00425812"/>
    <w:rsid w:val="00425B49"/>
    <w:rsid w:val="004315F9"/>
    <w:rsid w:val="00453B6D"/>
    <w:rsid w:val="0046220B"/>
    <w:rsid w:val="00477B8E"/>
    <w:rsid w:val="0049418D"/>
    <w:rsid w:val="00495A98"/>
    <w:rsid w:val="004A2380"/>
    <w:rsid w:val="004A7A84"/>
    <w:rsid w:val="004B1CC3"/>
    <w:rsid w:val="004B2DE2"/>
    <w:rsid w:val="004B58C1"/>
    <w:rsid w:val="004D2291"/>
    <w:rsid w:val="004D3D8C"/>
    <w:rsid w:val="004E11AD"/>
    <w:rsid w:val="004E6C9A"/>
    <w:rsid w:val="004E7D38"/>
    <w:rsid w:val="004F5016"/>
    <w:rsid w:val="005015AD"/>
    <w:rsid w:val="005049DF"/>
    <w:rsid w:val="00510B67"/>
    <w:rsid w:val="00512D85"/>
    <w:rsid w:val="005241B3"/>
    <w:rsid w:val="00525BA3"/>
    <w:rsid w:val="005322C6"/>
    <w:rsid w:val="00533891"/>
    <w:rsid w:val="005452D8"/>
    <w:rsid w:val="00555F9E"/>
    <w:rsid w:val="00596F59"/>
    <w:rsid w:val="005A039B"/>
    <w:rsid w:val="005A7327"/>
    <w:rsid w:val="005B01E3"/>
    <w:rsid w:val="005B6CE8"/>
    <w:rsid w:val="005B71AB"/>
    <w:rsid w:val="005C5085"/>
    <w:rsid w:val="005C7309"/>
    <w:rsid w:val="005E384C"/>
    <w:rsid w:val="005E7330"/>
    <w:rsid w:val="005F4747"/>
    <w:rsid w:val="006246CF"/>
    <w:rsid w:val="006272C0"/>
    <w:rsid w:val="00643138"/>
    <w:rsid w:val="006568CD"/>
    <w:rsid w:val="00663668"/>
    <w:rsid w:val="00665A17"/>
    <w:rsid w:val="0068118C"/>
    <w:rsid w:val="00683B91"/>
    <w:rsid w:val="00684D3D"/>
    <w:rsid w:val="006941E6"/>
    <w:rsid w:val="006B0978"/>
    <w:rsid w:val="006B1106"/>
    <w:rsid w:val="006B32BA"/>
    <w:rsid w:val="006B551C"/>
    <w:rsid w:val="006C5FF3"/>
    <w:rsid w:val="006D6B2D"/>
    <w:rsid w:val="007062F2"/>
    <w:rsid w:val="00711406"/>
    <w:rsid w:val="007242D0"/>
    <w:rsid w:val="00736325"/>
    <w:rsid w:val="00737E5B"/>
    <w:rsid w:val="0074296C"/>
    <w:rsid w:val="00742CDE"/>
    <w:rsid w:val="007579EA"/>
    <w:rsid w:val="00760605"/>
    <w:rsid w:val="00764D38"/>
    <w:rsid w:val="00785BA8"/>
    <w:rsid w:val="007A5021"/>
    <w:rsid w:val="007B1E08"/>
    <w:rsid w:val="007C5609"/>
    <w:rsid w:val="007E3470"/>
    <w:rsid w:val="007E5406"/>
    <w:rsid w:val="007E7C50"/>
    <w:rsid w:val="007F59DB"/>
    <w:rsid w:val="007F7069"/>
    <w:rsid w:val="00800F4D"/>
    <w:rsid w:val="00804999"/>
    <w:rsid w:val="00810094"/>
    <w:rsid w:val="00810F0C"/>
    <w:rsid w:val="00824F9C"/>
    <w:rsid w:val="00826808"/>
    <w:rsid w:val="008320DF"/>
    <w:rsid w:val="00851A84"/>
    <w:rsid w:val="00853D29"/>
    <w:rsid w:val="0086366F"/>
    <w:rsid w:val="0087041A"/>
    <w:rsid w:val="00874B23"/>
    <w:rsid w:val="00877D33"/>
    <w:rsid w:val="008914E1"/>
    <w:rsid w:val="0089354B"/>
    <w:rsid w:val="008A0C83"/>
    <w:rsid w:val="008A5E8C"/>
    <w:rsid w:val="008B3FF0"/>
    <w:rsid w:val="008B54C1"/>
    <w:rsid w:val="008B7254"/>
    <w:rsid w:val="008B7ED3"/>
    <w:rsid w:val="008C2902"/>
    <w:rsid w:val="008C55DC"/>
    <w:rsid w:val="008F1838"/>
    <w:rsid w:val="008F66EB"/>
    <w:rsid w:val="00905B62"/>
    <w:rsid w:val="00935980"/>
    <w:rsid w:val="00936C08"/>
    <w:rsid w:val="00952C4E"/>
    <w:rsid w:val="00963BB0"/>
    <w:rsid w:val="00966D55"/>
    <w:rsid w:val="009779BD"/>
    <w:rsid w:val="00980223"/>
    <w:rsid w:val="00987D84"/>
    <w:rsid w:val="00996C40"/>
    <w:rsid w:val="009A3B34"/>
    <w:rsid w:val="009B3039"/>
    <w:rsid w:val="009C6C24"/>
    <w:rsid w:val="009C7C0C"/>
    <w:rsid w:val="009E0070"/>
    <w:rsid w:val="009E744A"/>
    <w:rsid w:val="009F7493"/>
    <w:rsid w:val="00A14C91"/>
    <w:rsid w:val="00A263D7"/>
    <w:rsid w:val="00A43F7B"/>
    <w:rsid w:val="00A47602"/>
    <w:rsid w:val="00A500F9"/>
    <w:rsid w:val="00A55D94"/>
    <w:rsid w:val="00A62929"/>
    <w:rsid w:val="00A8263C"/>
    <w:rsid w:val="00A850F1"/>
    <w:rsid w:val="00AA7995"/>
    <w:rsid w:val="00AC5B08"/>
    <w:rsid w:val="00AD798F"/>
    <w:rsid w:val="00AE777E"/>
    <w:rsid w:val="00AF2AC3"/>
    <w:rsid w:val="00AF3C29"/>
    <w:rsid w:val="00B06C0A"/>
    <w:rsid w:val="00B1357C"/>
    <w:rsid w:val="00B1381A"/>
    <w:rsid w:val="00B43921"/>
    <w:rsid w:val="00B65B9C"/>
    <w:rsid w:val="00B85FDA"/>
    <w:rsid w:val="00BA72BB"/>
    <w:rsid w:val="00BB5D1E"/>
    <w:rsid w:val="00BD2F57"/>
    <w:rsid w:val="00BD7FDA"/>
    <w:rsid w:val="00C00986"/>
    <w:rsid w:val="00C038B9"/>
    <w:rsid w:val="00C056BE"/>
    <w:rsid w:val="00C104B4"/>
    <w:rsid w:val="00C15065"/>
    <w:rsid w:val="00C1794B"/>
    <w:rsid w:val="00C216AF"/>
    <w:rsid w:val="00C26A41"/>
    <w:rsid w:val="00C361EF"/>
    <w:rsid w:val="00C40C09"/>
    <w:rsid w:val="00C44F7A"/>
    <w:rsid w:val="00C8540F"/>
    <w:rsid w:val="00C94790"/>
    <w:rsid w:val="00CB5FED"/>
    <w:rsid w:val="00CC1F9B"/>
    <w:rsid w:val="00CC6E07"/>
    <w:rsid w:val="00CF335D"/>
    <w:rsid w:val="00D15981"/>
    <w:rsid w:val="00D1610D"/>
    <w:rsid w:val="00D27DBF"/>
    <w:rsid w:val="00D32A84"/>
    <w:rsid w:val="00D377B3"/>
    <w:rsid w:val="00D5592A"/>
    <w:rsid w:val="00D66B12"/>
    <w:rsid w:val="00D747DE"/>
    <w:rsid w:val="00D81BC2"/>
    <w:rsid w:val="00D85B48"/>
    <w:rsid w:val="00D85D6C"/>
    <w:rsid w:val="00DA52CE"/>
    <w:rsid w:val="00DB23B9"/>
    <w:rsid w:val="00DD233C"/>
    <w:rsid w:val="00DD42B5"/>
    <w:rsid w:val="00DD67B5"/>
    <w:rsid w:val="00DE7135"/>
    <w:rsid w:val="00DF6EAC"/>
    <w:rsid w:val="00E03688"/>
    <w:rsid w:val="00E05FE1"/>
    <w:rsid w:val="00E15FF7"/>
    <w:rsid w:val="00E2109B"/>
    <w:rsid w:val="00E25213"/>
    <w:rsid w:val="00E26ED9"/>
    <w:rsid w:val="00E40CEA"/>
    <w:rsid w:val="00E4322C"/>
    <w:rsid w:val="00E65B0C"/>
    <w:rsid w:val="00E81031"/>
    <w:rsid w:val="00E86500"/>
    <w:rsid w:val="00E90675"/>
    <w:rsid w:val="00E9214D"/>
    <w:rsid w:val="00E95645"/>
    <w:rsid w:val="00EA231F"/>
    <w:rsid w:val="00EB22B6"/>
    <w:rsid w:val="00ED2AE5"/>
    <w:rsid w:val="00EF6BB0"/>
    <w:rsid w:val="00F019E3"/>
    <w:rsid w:val="00F22A62"/>
    <w:rsid w:val="00F273C3"/>
    <w:rsid w:val="00F52FC1"/>
    <w:rsid w:val="00F53B0B"/>
    <w:rsid w:val="00F769A4"/>
    <w:rsid w:val="00F77A1A"/>
    <w:rsid w:val="00FA4F8C"/>
    <w:rsid w:val="00FC144C"/>
    <w:rsid w:val="00FD2D03"/>
    <w:rsid w:val="00FE6668"/>
    <w:rsid w:val="00FF2AEC"/>
    <w:rsid w:val="00FF453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F16C9"/>
  <w15:docId w15:val="{B7AF661D-7FA0-4144-B1FA-51CB13CB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0D7"/>
    <w:pPr>
      <w:ind w:leftChars="200" w:left="480"/>
    </w:pPr>
  </w:style>
  <w:style w:type="paragraph" w:styleId="a4">
    <w:name w:val="Balloon Text"/>
    <w:basedOn w:val="a"/>
    <w:link w:val="a5"/>
    <w:uiPriority w:val="99"/>
    <w:semiHidden/>
    <w:unhideWhenUsed/>
    <w:rsid w:val="00064503"/>
    <w:rPr>
      <w:rFonts w:ascii="Calibri Light" w:hAnsi="Calibri Light"/>
      <w:kern w:val="0"/>
      <w:sz w:val="18"/>
      <w:szCs w:val="18"/>
    </w:rPr>
  </w:style>
  <w:style w:type="character" w:customStyle="1" w:styleId="a5">
    <w:name w:val="註解方塊文字 字元"/>
    <w:link w:val="a4"/>
    <w:uiPriority w:val="99"/>
    <w:semiHidden/>
    <w:rsid w:val="00064503"/>
    <w:rPr>
      <w:rFonts w:ascii="Calibri Light" w:eastAsia="新細明體" w:hAnsi="Calibri Light" w:cs="Times New Roman"/>
      <w:sz w:val="18"/>
      <w:szCs w:val="18"/>
    </w:rPr>
  </w:style>
  <w:style w:type="paragraph" w:styleId="a6">
    <w:name w:val="header"/>
    <w:basedOn w:val="a"/>
    <w:link w:val="a7"/>
    <w:uiPriority w:val="99"/>
    <w:unhideWhenUsed/>
    <w:rsid w:val="00064503"/>
    <w:pPr>
      <w:tabs>
        <w:tab w:val="center" w:pos="4153"/>
        <w:tab w:val="right" w:pos="8306"/>
      </w:tabs>
      <w:snapToGrid w:val="0"/>
    </w:pPr>
    <w:rPr>
      <w:kern w:val="0"/>
      <w:sz w:val="20"/>
      <w:szCs w:val="20"/>
    </w:rPr>
  </w:style>
  <w:style w:type="character" w:customStyle="1" w:styleId="a7">
    <w:name w:val="頁首 字元"/>
    <w:link w:val="a6"/>
    <w:uiPriority w:val="99"/>
    <w:rsid w:val="00064503"/>
    <w:rPr>
      <w:sz w:val="20"/>
      <w:szCs w:val="20"/>
    </w:rPr>
  </w:style>
  <w:style w:type="paragraph" w:styleId="a8">
    <w:name w:val="footer"/>
    <w:basedOn w:val="a"/>
    <w:link w:val="a9"/>
    <w:uiPriority w:val="99"/>
    <w:unhideWhenUsed/>
    <w:rsid w:val="00064503"/>
    <w:pPr>
      <w:tabs>
        <w:tab w:val="center" w:pos="4153"/>
        <w:tab w:val="right" w:pos="8306"/>
      </w:tabs>
      <w:snapToGrid w:val="0"/>
    </w:pPr>
    <w:rPr>
      <w:kern w:val="0"/>
      <w:sz w:val="20"/>
      <w:szCs w:val="20"/>
    </w:rPr>
  </w:style>
  <w:style w:type="character" w:customStyle="1" w:styleId="a9">
    <w:name w:val="頁尾 字元"/>
    <w:link w:val="a8"/>
    <w:uiPriority w:val="99"/>
    <w:rsid w:val="0006450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46041">
      <w:bodyDiv w:val="1"/>
      <w:marLeft w:val="0"/>
      <w:marRight w:val="0"/>
      <w:marTop w:val="0"/>
      <w:marBottom w:val="0"/>
      <w:divBdr>
        <w:top w:val="none" w:sz="0" w:space="0" w:color="auto"/>
        <w:left w:val="none" w:sz="0" w:space="0" w:color="auto"/>
        <w:bottom w:val="none" w:sz="0" w:space="0" w:color="auto"/>
        <w:right w:val="none" w:sz="0" w:space="0" w:color="auto"/>
      </w:divBdr>
      <w:divsChild>
        <w:div w:id="1051153370">
          <w:marLeft w:val="0"/>
          <w:marRight w:val="0"/>
          <w:marTop w:val="0"/>
          <w:marBottom w:val="0"/>
          <w:divBdr>
            <w:top w:val="none" w:sz="0" w:space="0" w:color="auto"/>
            <w:left w:val="none" w:sz="0" w:space="0" w:color="auto"/>
            <w:bottom w:val="none" w:sz="0" w:space="0" w:color="auto"/>
            <w:right w:val="none" w:sz="0" w:space="0" w:color="auto"/>
          </w:divBdr>
        </w:div>
        <w:div w:id="1611814224">
          <w:marLeft w:val="0"/>
          <w:marRight w:val="0"/>
          <w:marTop w:val="0"/>
          <w:marBottom w:val="0"/>
          <w:divBdr>
            <w:top w:val="none" w:sz="0" w:space="0" w:color="auto"/>
            <w:left w:val="none" w:sz="0" w:space="0" w:color="auto"/>
            <w:bottom w:val="none" w:sz="0" w:space="0" w:color="auto"/>
            <w:right w:val="none" w:sz="0" w:space="0" w:color="auto"/>
          </w:divBdr>
        </w:div>
        <w:div w:id="1940479778">
          <w:marLeft w:val="0"/>
          <w:marRight w:val="0"/>
          <w:marTop w:val="0"/>
          <w:marBottom w:val="0"/>
          <w:divBdr>
            <w:top w:val="none" w:sz="0" w:space="0" w:color="auto"/>
            <w:left w:val="none" w:sz="0" w:space="0" w:color="auto"/>
            <w:bottom w:val="none" w:sz="0" w:space="0" w:color="auto"/>
            <w:right w:val="none" w:sz="0" w:space="0" w:color="auto"/>
          </w:divBdr>
        </w:div>
        <w:div w:id="1058628725">
          <w:marLeft w:val="0"/>
          <w:marRight w:val="0"/>
          <w:marTop w:val="0"/>
          <w:marBottom w:val="0"/>
          <w:divBdr>
            <w:top w:val="none" w:sz="0" w:space="0" w:color="auto"/>
            <w:left w:val="none" w:sz="0" w:space="0" w:color="auto"/>
            <w:bottom w:val="none" w:sz="0" w:space="0" w:color="auto"/>
            <w:right w:val="none" w:sz="0" w:space="0" w:color="auto"/>
          </w:divBdr>
        </w:div>
        <w:div w:id="37245654">
          <w:marLeft w:val="0"/>
          <w:marRight w:val="0"/>
          <w:marTop w:val="0"/>
          <w:marBottom w:val="0"/>
          <w:divBdr>
            <w:top w:val="none" w:sz="0" w:space="0" w:color="auto"/>
            <w:left w:val="none" w:sz="0" w:space="0" w:color="auto"/>
            <w:bottom w:val="none" w:sz="0" w:space="0" w:color="auto"/>
            <w:right w:val="none" w:sz="0" w:space="0" w:color="auto"/>
          </w:divBdr>
        </w:div>
        <w:div w:id="1832718884">
          <w:marLeft w:val="0"/>
          <w:marRight w:val="0"/>
          <w:marTop w:val="0"/>
          <w:marBottom w:val="0"/>
          <w:divBdr>
            <w:top w:val="none" w:sz="0" w:space="0" w:color="auto"/>
            <w:left w:val="none" w:sz="0" w:space="0" w:color="auto"/>
            <w:bottom w:val="none" w:sz="0" w:space="0" w:color="auto"/>
            <w:right w:val="none" w:sz="0" w:space="0" w:color="auto"/>
          </w:divBdr>
        </w:div>
        <w:div w:id="93328837">
          <w:marLeft w:val="0"/>
          <w:marRight w:val="0"/>
          <w:marTop w:val="0"/>
          <w:marBottom w:val="0"/>
          <w:divBdr>
            <w:top w:val="none" w:sz="0" w:space="0" w:color="auto"/>
            <w:left w:val="none" w:sz="0" w:space="0" w:color="auto"/>
            <w:bottom w:val="none" w:sz="0" w:space="0" w:color="auto"/>
            <w:right w:val="none" w:sz="0" w:space="0" w:color="auto"/>
          </w:divBdr>
        </w:div>
        <w:div w:id="1157652745">
          <w:marLeft w:val="0"/>
          <w:marRight w:val="0"/>
          <w:marTop w:val="0"/>
          <w:marBottom w:val="0"/>
          <w:divBdr>
            <w:top w:val="none" w:sz="0" w:space="0" w:color="auto"/>
            <w:left w:val="none" w:sz="0" w:space="0" w:color="auto"/>
            <w:bottom w:val="none" w:sz="0" w:space="0" w:color="auto"/>
            <w:right w:val="none" w:sz="0" w:space="0" w:color="auto"/>
          </w:divBdr>
        </w:div>
        <w:div w:id="838429358">
          <w:marLeft w:val="0"/>
          <w:marRight w:val="0"/>
          <w:marTop w:val="0"/>
          <w:marBottom w:val="0"/>
          <w:divBdr>
            <w:top w:val="none" w:sz="0" w:space="0" w:color="auto"/>
            <w:left w:val="none" w:sz="0" w:space="0" w:color="auto"/>
            <w:bottom w:val="none" w:sz="0" w:space="0" w:color="auto"/>
            <w:right w:val="none" w:sz="0" w:space="0" w:color="auto"/>
          </w:divBdr>
        </w:div>
        <w:div w:id="1044138991">
          <w:marLeft w:val="0"/>
          <w:marRight w:val="0"/>
          <w:marTop w:val="0"/>
          <w:marBottom w:val="0"/>
          <w:divBdr>
            <w:top w:val="none" w:sz="0" w:space="0" w:color="auto"/>
            <w:left w:val="none" w:sz="0" w:space="0" w:color="auto"/>
            <w:bottom w:val="none" w:sz="0" w:space="0" w:color="auto"/>
            <w:right w:val="none" w:sz="0" w:space="0" w:color="auto"/>
          </w:divBdr>
        </w:div>
        <w:div w:id="525749640">
          <w:marLeft w:val="0"/>
          <w:marRight w:val="0"/>
          <w:marTop w:val="0"/>
          <w:marBottom w:val="0"/>
          <w:divBdr>
            <w:top w:val="none" w:sz="0" w:space="0" w:color="auto"/>
            <w:left w:val="none" w:sz="0" w:space="0" w:color="auto"/>
            <w:bottom w:val="none" w:sz="0" w:space="0" w:color="auto"/>
            <w:right w:val="none" w:sz="0" w:space="0" w:color="auto"/>
          </w:divBdr>
        </w:div>
        <w:div w:id="82073255">
          <w:marLeft w:val="0"/>
          <w:marRight w:val="0"/>
          <w:marTop w:val="0"/>
          <w:marBottom w:val="0"/>
          <w:divBdr>
            <w:top w:val="none" w:sz="0" w:space="0" w:color="auto"/>
            <w:left w:val="none" w:sz="0" w:space="0" w:color="auto"/>
            <w:bottom w:val="none" w:sz="0" w:space="0" w:color="auto"/>
            <w:right w:val="none" w:sz="0" w:space="0" w:color="auto"/>
          </w:divBdr>
        </w:div>
        <w:div w:id="1870218163">
          <w:marLeft w:val="0"/>
          <w:marRight w:val="0"/>
          <w:marTop w:val="0"/>
          <w:marBottom w:val="0"/>
          <w:divBdr>
            <w:top w:val="none" w:sz="0" w:space="0" w:color="auto"/>
            <w:left w:val="none" w:sz="0" w:space="0" w:color="auto"/>
            <w:bottom w:val="none" w:sz="0" w:space="0" w:color="auto"/>
            <w:right w:val="none" w:sz="0" w:space="0" w:color="auto"/>
          </w:divBdr>
        </w:div>
        <w:div w:id="900290837">
          <w:marLeft w:val="0"/>
          <w:marRight w:val="0"/>
          <w:marTop w:val="0"/>
          <w:marBottom w:val="0"/>
          <w:divBdr>
            <w:top w:val="none" w:sz="0" w:space="0" w:color="auto"/>
            <w:left w:val="none" w:sz="0" w:space="0" w:color="auto"/>
            <w:bottom w:val="none" w:sz="0" w:space="0" w:color="auto"/>
            <w:right w:val="none" w:sz="0" w:space="0" w:color="auto"/>
          </w:divBdr>
        </w:div>
        <w:div w:id="520164627">
          <w:marLeft w:val="0"/>
          <w:marRight w:val="0"/>
          <w:marTop w:val="0"/>
          <w:marBottom w:val="0"/>
          <w:divBdr>
            <w:top w:val="none" w:sz="0" w:space="0" w:color="auto"/>
            <w:left w:val="none" w:sz="0" w:space="0" w:color="auto"/>
            <w:bottom w:val="none" w:sz="0" w:space="0" w:color="auto"/>
            <w:right w:val="none" w:sz="0" w:space="0" w:color="auto"/>
          </w:divBdr>
        </w:div>
        <w:div w:id="134371190">
          <w:marLeft w:val="0"/>
          <w:marRight w:val="0"/>
          <w:marTop w:val="0"/>
          <w:marBottom w:val="0"/>
          <w:divBdr>
            <w:top w:val="none" w:sz="0" w:space="0" w:color="auto"/>
            <w:left w:val="none" w:sz="0" w:space="0" w:color="auto"/>
            <w:bottom w:val="none" w:sz="0" w:space="0" w:color="auto"/>
            <w:right w:val="none" w:sz="0" w:space="0" w:color="auto"/>
          </w:divBdr>
        </w:div>
        <w:div w:id="1510098854">
          <w:marLeft w:val="0"/>
          <w:marRight w:val="0"/>
          <w:marTop w:val="0"/>
          <w:marBottom w:val="0"/>
          <w:divBdr>
            <w:top w:val="none" w:sz="0" w:space="0" w:color="auto"/>
            <w:left w:val="none" w:sz="0" w:space="0" w:color="auto"/>
            <w:bottom w:val="none" w:sz="0" w:space="0" w:color="auto"/>
            <w:right w:val="none" w:sz="0" w:space="0" w:color="auto"/>
          </w:divBdr>
        </w:div>
        <w:div w:id="1504664006">
          <w:marLeft w:val="0"/>
          <w:marRight w:val="0"/>
          <w:marTop w:val="0"/>
          <w:marBottom w:val="0"/>
          <w:divBdr>
            <w:top w:val="none" w:sz="0" w:space="0" w:color="auto"/>
            <w:left w:val="none" w:sz="0" w:space="0" w:color="auto"/>
            <w:bottom w:val="none" w:sz="0" w:space="0" w:color="auto"/>
            <w:right w:val="none" w:sz="0" w:space="0" w:color="auto"/>
          </w:divBdr>
        </w:div>
        <w:div w:id="612135819">
          <w:marLeft w:val="0"/>
          <w:marRight w:val="0"/>
          <w:marTop w:val="0"/>
          <w:marBottom w:val="0"/>
          <w:divBdr>
            <w:top w:val="none" w:sz="0" w:space="0" w:color="auto"/>
            <w:left w:val="none" w:sz="0" w:space="0" w:color="auto"/>
            <w:bottom w:val="none" w:sz="0" w:space="0" w:color="auto"/>
            <w:right w:val="none" w:sz="0" w:space="0" w:color="auto"/>
          </w:divBdr>
        </w:div>
        <w:div w:id="1389063843">
          <w:marLeft w:val="0"/>
          <w:marRight w:val="0"/>
          <w:marTop w:val="0"/>
          <w:marBottom w:val="0"/>
          <w:divBdr>
            <w:top w:val="none" w:sz="0" w:space="0" w:color="auto"/>
            <w:left w:val="none" w:sz="0" w:space="0" w:color="auto"/>
            <w:bottom w:val="none" w:sz="0" w:space="0" w:color="auto"/>
            <w:right w:val="none" w:sz="0" w:space="0" w:color="auto"/>
          </w:divBdr>
        </w:div>
        <w:div w:id="34279606">
          <w:marLeft w:val="0"/>
          <w:marRight w:val="0"/>
          <w:marTop w:val="0"/>
          <w:marBottom w:val="0"/>
          <w:divBdr>
            <w:top w:val="none" w:sz="0" w:space="0" w:color="auto"/>
            <w:left w:val="none" w:sz="0" w:space="0" w:color="auto"/>
            <w:bottom w:val="none" w:sz="0" w:space="0" w:color="auto"/>
            <w:right w:val="none" w:sz="0" w:space="0" w:color="auto"/>
          </w:divBdr>
        </w:div>
        <w:div w:id="326985425">
          <w:marLeft w:val="0"/>
          <w:marRight w:val="0"/>
          <w:marTop w:val="0"/>
          <w:marBottom w:val="0"/>
          <w:divBdr>
            <w:top w:val="none" w:sz="0" w:space="0" w:color="auto"/>
            <w:left w:val="none" w:sz="0" w:space="0" w:color="auto"/>
            <w:bottom w:val="none" w:sz="0" w:space="0" w:color="auto"/>
            <w:right w:val="none" w:sz="0" w:space="0" w:color="auto"/>
          </w:divBdr>
        </w:div>
        <w:div w:id="2114352827">
          <w:marLeft w:val="0"/>
          <w:marRight w:val="0"/>
          <w:marTop w:val="0"/>
          <w:marBottom w:val="0"/>
          <w:divBdr>
            <w:top w:val="none" w:sz="0" w:space="0" w:color="auto"/>
            <w:left w:val="none" w:sz="0" w:space="0" w:color="auto"/>
            <w:bottom w:val="none" w:sz="0" w:space="0" w:color="auto"/>
            <w:right w:val="none" w:sz="0" w:space="0" w:color="auto"/>
          </w:divBdr>
        </w:div>
        <w:div w:id="11129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316FD-62C7-41CA-8B15-6F134DBF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ndhu</cp:lastModifiedBy>
  <cp:revision>4</cp:revision>
  <cp:lastPrinted>2014-09-11T03:13:00Z</cp:lastPrinted>
  <dcterms:created xsi:type="dcterms:W3CDTF">2015-01-21T03:56:00Z</dcterms:created>
  <dcterms:modified xsi:type="dcterms:W3CDTF">2017-01-15T06:58:00Z</dcterms:modified>
</cp:coreProperties>
</file>