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5" w:rsidRPr="0067032B" w:rsidRDefault="00F070F5" w:rsidP="00341C76">
      <w:pPr>
        <w:spacing w:line="80" w:lineRule="atLeast"/>
        <w:jc w:val="center"/>
        <w:rPr>
          <w:rFonts w:ascii="標楷體" w:eastAsia="標楷體" w:hAnsi="標楷體"/>
          <w:sz w:val="36"/>
          <w:szCs w:val="36"/>
        </w:rPr>
      </w:pPr>
      <w:r w:rsidRPr="0067032B">
        <w:rPr>
          <w:rFonts w:ascii="標楷體" w:eastAsia="標楷體" w:hAnsi="標楷體" w:hint="eastAsia"/>
          <w:sz w:val="36"/>
          <w:szCs w:val="36"/>
        </w:rPr>
        <w:t>薛理桂教授</w:t>
      </w:r>
      <w:r w:rsidR="00B7531D" w:rsidRPr="0067032B">
        <w:rPr>
          <w:rFonts w:ascii="標楷體" w:eastAsia="標楷體" w:hAnsi="標楷體" w:hint="eastAsia"/>
          <w:sz w:val="36"/>
          <w:szCs w:val="36"/>
        </w:rPr>
        <w:t xml:space="preserve">　簡歷</w:t>
      </w:r>
    </w:p>
    <w:p w:rsidR="00F070F5" w:rsidRPr="00B7531D" w:rsidRDefault="00F070F5" w:rsidP="00F070F5">
      <w:pPr>
        <w:rPr>
          <w:rFonts w:ascii="標楷體" w:eastAsia="標楷體" w:hAnsi="標楷體" w:cs="新細明體"/>
          <w:color w:val="3E1A00"/>
          <w:spacing w:val="12"/>
          <w:kern w:val="0"/>
          <w:sz w:val="32"/>
          <w:szCs w:val="32"/>
        </w:rPr>
      </w:pPr>
      <w:r w:rsidRPr="00B7531D">
        <w:rPr>
          <w:rFonts w:ascii="標楷體" w:eastAsia="標楷體" w:hAnsi="標楷體" w:hint="eastAsia"/>
          <w:b/>
          <w:sz w:val="32"/>
          <w:szCs w:val="32"/>
        </w:rPr>
        <w:t>學歷：</w:t>
      </w:r>
      <w:r w:rsidR="000A3066" w:rsidRPr="0067032B">
        <w:rPr>
          <w:rFonts w:ascii="標楷體" w:eastAsia="標楷體" w:hAnsi="標楷體" w:cs="Arial"/>
          <w:color w:val="101010"/>
          <w:sz w:val="28"/>
          <w:szCs w:val="28"/>
          <w:shd w:val="clear" w:color="auto" w:fill="FFFFFF"/>
        </w:rPr>
        <w:t>英國羅福堡大學圖書資訊學系</w:t>
      </w:r>
      <w:r w:rsidR="000A3066" w:rsidRPr="0067032B">
        <w:rPr>
          <w:rFonts w:ascii="標楷體" w:eastAsia="標楷體" w:hAnsi="標楷體" w:cs="Arial" w:hint="eastAsia"/>
          <w:color w:val="101010"/>
          <w:sz w:val="28"/>
          <w:szCs w:val="28"/>
          <w:shd w:val="clear" w:color="auto" w:fill="FFFFFF"/>
        </w:rPr>
        <w:t xml:space="preserve">　</w:t>
      </w:r>
      <w:r w:rsidR="000A3066" w:rsidRPr="0067032B">
        <w:rPr>
          <w:rFonts w:ascii="標楷體" w:eastAsia="標楷體" w:hAnsi="標楷體" w:cs="Arial"/>
          <w:color w:val="101010"/>
          <w:sz w:val="28"/>
          <w:szCs w:val="28"/>
          <w:shd w:val="clear" w:color="auto" w:fill="FFFFFF"/>
        </w:rPr>
        <w:t>博士</w:t>
      </w:r>
    </w:p>
    <w:p w:rsidR="00F070F5" w:rsidRPr="0067032B" w:rsidRDefault="00F070F5" w:rsidP="00F070F5">
      <w:pPr>
        <w:rPr>
          <w:rFonts w:ascii="標楷體" w:eastAsia="標楷體" w:hAnsi="標楷體" w:cs="新細明體"/>
          <w:b/>
          <w:color w:val="3E1A00"/>
          <w:spacing w:val="12"/>
          <w:kern w:val="0"/>
          <w:sz w:val="32"/>
          <w:szCs w:val="32"/>
        </w:rPr>
      </w:pPr>
      <w:r w:rsidRPr="0067032B">
        <w:rPr>
          <w:rFonts w:ascii="標楷體" w:eastAsia="標楷體" w:hAnsi="標楷體" w:cs="新細明體" w:hint="eastAsia"/>
          <w:b/>
          <w:color w:val="3E1A00"/>
          <w:spacing w:val="12"/>
          <w:kern w:val="0"/>
          <w:sz w:val="32"/>
          <w:szCs w:val="32"/>
        </w:rPr>
        <w:t>經歷：</w:t>
      </w:r>
    </w:p>
    <w:p w:rsidR="00F070F5" w:rsidRPr="0067032B" w:rsidRDefault="00B7531D" w:rsidP="000A3066">
      <w:pPr>
        <w:widowControl/>
        <w:spacing w:line="0" w:lineRule="atLeast"/>
        <w:rPr>
          <w:rFonts w:ascii="標楷體" w:eastAsia="標楷體" w:hAnsi="標楷體" w:cs="新細明體"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一、</w:t>
      </w:r>
      <w:r w:rsidR="00F070F5"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現任：國立政治大學圖書資訊與檔案學研究所</w:t>
      </w: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兼任</w:t>
      </w:r>
      <w:r w:rsidR="00F070F5"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教授</w:t>
      </w:r>
    </w:p>
    <w:p w:rsidR="00B7531D" w:rsidRPr="0067032B" w:rsidRDefault="00B7531D" w:rsidP="000A4506">
      <w:pPr>
        <w:spacing w:line="0" w:lineRule="atLeast"/>
        <w:rPr>
          <w:rFonts w:ascii="標楷體" w:eastAsia="標楷體" w:hAnsi="標楷體" w:cs="新細明體"/>
          <w:bCs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二、曾擔任</w:t>
      </w: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國立政治大學圖書資訊與檔案學研究所所長多年</w:t>
      </w:r>
      <w:r w:rsidR="008F5C56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(目前退休</w:t>
      </w:r>
      <w:r w:rsidR="008F5C56">
        <w:rPr>
          <w:rFonts w:ascii="標楷體" w:eastAsia="標楷體" w:hAnsi="標楷體" w:cs="新細明體"/>
          <w:color w:val="3E1A00"/>
          <w:spacing w:val="12"/>
          <w:kern w:val="0"/>
          <w:sz w:val="28"/>
          <w:szCs w:val="28"/>
        </w:rPr>
        <w:t>）</w:t>
      </w:r>
    </w:p>
    <w:p w:rsidR="000A3066" w:rsidRPr="0067032B" w:rsidRDefault="00B7531D" w:rsidP="000A4506">
      <w:pPr>
        <w:spacing w:line="0" w:lineRule="atLeast"/>
        <w:rPr>
          <w:rFonts w:ascii="標楷體" w:eastAsia="標楷體" w:hAnsi="標楷體" w:cs="新細明體"/>
          <w:bCs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三、</w:t>
      </w:r>
      <w:r w:rsidR="000A3066"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曾擔任</w:t>
      </w:r>
      <w:proofErr w:type="gramStart"/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檔管局</w:t>
      </w:r>
      <w:r w:rsidR="000A3066"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金檔獎</w:t>
      </w:r>
      <w:proofErr w:type="gramEnd"/>
      <w:r w:rsidR="000A3066"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第3、4、6、7、10、11屆評審委員</w:t>
      </w:r>
    </w:p>
    <w:p w:rsidR="00B7531D" w:rsidRPr="0067032B" w:rsidRDefault="00B7531D" w:rsidP="000A4506">
      <w:pPr>
        <w:widowControl/>
        <w:shd w:val="clear" w:color="auto" w:fill="FFFFFF"/>
        <w:spacing w:after="24" w:line="0" w:lineRule="atLeast"/>
        <w:ind w:leftChars="-1" w:left="-2" w:firstLine="1"/>
        <w:rPr>
          <w:rFonts w:ascii="標楷體" w:eastAsia="標楷體" w:hAnsi="標楷體" w:cs="新細明體"/>
          <w:bCs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四、曾擔任教育部文書檔案管理訪視委員</w:t>
      </w:r>
    </w:p>
    <w:p w:rsidR="000A4506" w:rsidRPr="0067032B" w:rsidRDefault="00B7531D" w:rsidP="000A4506">
      <w:pPr>
        <w:widowControl/>
        <w:shd w:val="clear" w:color="auto" w:fill="FFFFFF"/>
        <w:spacing w:after="24" w:line="0" w:lineRule="atLeast"/>
        <w:ind w:leftChars="-1" w:left="-2" w:firstLine="1"/>
        <w:rPr>
          <w:rFonts w:ascii="標楷體" w:eastAsia="標楷體" w:hAnsi="標楷體" w:cs="新細明體"/>
          <w:bCs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五、榮獲</w:t>
      </w:r>
      <w:r w:rsidR="00DF2B55"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102學年度</w:t>
      </w:r>
      <w:r w:rsidR="000A4506"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政治大學「教學特優教師獎」</w:t>
      </w:r>
    </w:p>
    <w:p w:rsidR="00DF2B55" w:rsidRPr="0067032B" w:rsidRDefault="00DF2B55" w:rsidP="000A3066">
      <w:pPr>
        <w:spacing w:line="0" w:lineRule="atLeast"/>
        <w:rPr>
          <w:rFonts w:ascii="標楷體" w:eastAsia="標楷體" w:hAnsi="標楷體" w:cs="新細明體"/>
          <w:bCs/>
          <w:color w:val="3E1A00"/>
          <w:spacing w:val="12"/>
          <w:kern w:val="0"/>
          <w:sz w:val="28"/>
          <w:szCs w:val="28"/>
        </w:rPr>
      </w:pPr>
    </w:p>
    <w:p w:rsidR="00F070F5" w:rsidRPr="00B7531D" w:rsidRDefault="00F070F5" w:rsidP="00F070F5">
      <w:pPr>
        <w:rPr>
          <w:rFonts w:ascii="標楷體" w:eastAsia="標楷體" w:hAnsi="標楷體" w:cs="新細明體"/>
          <w:b/>
          <w:bCs/>
          <w:color w:val="3E1A00"/>
          <w:spacing w:val="12"/>
          <w:kern w:val="0"/>
          <w:sz w:val="32"/>
          <w:szCs w:val="32"/>
        </w:rPr>
      </w:pPr>
      <w:proofErr w:type="gramStart"/>
      <w:r w:rsidRPr="00B7531D">
        <w:rPr>
          <w:rFonts w:ascii="標楷體" w:eastAsia="標楷體" w:hAnsi="標楷體" w:cs="新細明體" w:hint="eastAsia"/>
          <w:b/>
          <w:bCs/>
          <w:color w:val="3E1A00"/>
          <w:spacing w:val="12"/>
          <w:kern w:val="0"/>
          <w:sz w:val="32"/>
          <w:szCs w:val="32"/>
        </w:rPr>
        <w:t>研</w:t>
      </w:r>
      <w:proofErr w:type="gramEnd"/>
      <w:r w:rsidRPr="00B7531D">
        <w:rPr>
          <w:rFonts w:ascii="標楷體" w:eastAsia="標楷體" w:hAnsi="標楷體" w:cs="新細明體" w:hint="eastAsia"/>
          <w:b/>
          <w:bCs/>
          <w:color w:val="3E1A00"/>
          <w:spacing w:val="12"/>
          <w:kern w:val="0"/>
          <w:sz w:val="32"/>
          <w:szCs w:val="32"/>
        </w:rPr>
        <w:t xml:space="preserve"> 究 與 專 長 領 域</w:t>
      </w:r>
    </w:p>
    <w:p w:rsidR="00F070F5" w:rsidRPr="0067032B" w:rsidRDefault="00F070F5" w:rsidP="00F070F5">
      <w:pPr>
        <w:spacing w:line="0" w:lineRule="atLeas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67032B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檔案學</w:t>
      </w:r>
    </w:p>
    <w:p w:rsidR="00F070F5" w:rsidRPr="0067032B" w:rsidRDefault="00F070F5" w:rsidP="00F070F5">
      <w:pPr>
        <w:spacing w:line="0" w:lineRule="atLeas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67032B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檔案選擇與鑑定</w:t>
      </w:r>
    </w:p>
    <w:p w:rsidR="00F070F5" w:rsidRPr="0067032B" w:rsidRDefault="00F070F5" w:rsidP="00F070F5">
      <w:pPr>
        <w:spacing w:line="0" w:lineRule="atLeas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67032B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檔案編排與描述</w:t>
      </w:r>
    </w:p>
    <w:p w:rsidR="00F070F5" w:rsidRPr="0067032B" w:rsidRDefault="00F070F5" w:rsidP="00F070F5">
      <w:pPr>
        <w:spacing w:line="0" w:lineRule="atLeast"/>
        <w:rPr>
          <w:rFonts w:ascii="標楷體" w:eastAsia="標楷體" w:hAnsi="標楷體" w:cs="新細明體"/>
          <w:b/>
          <w:bCs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國際檔案學</w:t>
      </w:r>
    </w:p>
    <w:p w:rsidR="00B7531D" w:rsidRPr="00B7531D" w:rsidRDefault="00B7531D">
      <w:pPr>
        <w:widowControl/>
        <w:rPr>
          <w:rFonts w:ascii="標楷體" w:eastAsia="標楷體" w:hAnsi="標楷體"/>
          <w:sz w:val="32"/>
          <w:szCs w:val="32"/>
        </w:rPr>
      </w:pPr>
    </w:p>
    <w:p w:rsidR="008263B7" w:rsidRDefault="008263B7" w:rsidP="00FD296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演講題目：檔案應用推廣實務</w:t>
      </w:r>
    </w:p>
    <w:p w:rsidR="00FD296B" w:rsidRPr="00341C76" w:rsidRDefault="00FD296B" w:rsidP="00FD296B">
      <w:pPr>
        <w:widowControl/>
        <w:rPr>
          <w:rFonts w:ascii="標楷體" w:eastAsia="標楷體" w:hAnsi="標楷體"/>
          <w:b/>
          <w:sz w:val="36"/>
          <w:szCs w:val="36"/>
        </w:rPr>
      </w:pPr>
      <w:r w:rsidRPr="00341C76">
        <w:rPr>
          <w:rFonts w:ascii="標楷體" w:eastAsia="標楷體" w:hAnsi="標楷體" w:hint="eastAsia"/>
          <w:b/>
          <w:sz w:val="36"/>
          <w:szCs w:val="36"/>
        </w:rPr>
        <w:t>大綱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一、行銷之意義與方式 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二、檔案行銷之意義與發展 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三、檔案推廣工作步驟 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四、美英兩國檔案推廣活動 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五、檔案行銷與公共關係 </w:t>
      </w:r>
    </w:p>
    <w:p w:rsidR="00B7531D" w:rsidRPr="00341C76" w:rsidRDefault="00B7531D" w:rsidP="00B7531D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bCs/>
          <w:sz w:val="36"/>
          <w:szCs w:val="36"/>
        </w:rPr>
        <w:t xml:space="preserve">六、臺灣檔案加值應用現況 </w:t>
      </w:r>
    </w:p>
    <w:p w:rsidR="00B7531D" w:rsidRPr="00341C76" w:rsidRDefault="008263B7" w:rsidP="008263B7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七</w:t>
      </w:r>
      <w:r w:rsidR="00B7531D" w:rsidRPr="00341C76">
        <w:rPr>
          <w:rFonts w:ascii="標楷體" w:eastAsia="標楷體" w:hAnsi="標楷體" w:hint="eastAsia"/>
          <w:bCs/>
          <w:sz w:val="36"/>
          <w:szCs w:val="36"/>
        </w:rPr>
        <w:t>、檔案應用檢核項目</w:t>
      </w:r>
    </w:p>
    <w:p w:rsidR="007E5329" w:rsidRDefault="008263B7" w:rsidP="008263B7">
      <w:pPr>
        <w:spacing w:line="0" w:lineRule="atLeas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八</w:t>
      </w:r>
      <w:r w:rsidRPr="00341C76">
        <w:rPr>
          <w:rFonts w:ascii="標楷體" w:eastAsia="標楷體" w:hAnsi="標楷體" w:hint="eastAsia"/>
          <w:bCs/>
          <w:sz w:val="36"/>
          <w:szCs w:val="36"/>
        </w:rPr>
        <w:t>、結論</w:t>
      </w:r>
    </w:p>
    <w:p w:rsidR="007E5329" w:rsidRDefault="007E5329">
      <w:pPr>
        <w:widowControl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br w:type="page"/>
      </w:r>
    </w:p>
    <w:p w:rsidR="007E5329" w:rsidRPr="0067032B" w:rsidRDefault="007E5329" w:rsidP="007E5329">
      <w:pPr>
        <w:spacing w:line="80" w:lineRule="atLeast"/>
        <w:jc w:val="center"/>
        <w:rPr>
          <w:rFonts w:ascii="標楷體" w:eastAsia="標楷體" w:hAnsi="標楷體"/>
          <w:sz w:val="36"/>
          <w:szCs w:val="36"/>
        </w:rPr>
      </w:pPr>
      <w:r w:rsidRPr="0067032B">
        <w:rPr>
          <w:rFonts w:ascii="標楷體" w:eastAsia="標楷體" w:hAnsi="標楷體" w:hint="eastAsia"/>
          <w:sz w:val="36"/>
          <w:szCs w:val="36"/>
        </w:rPr>
        <w:lastRenderedPageBreak/>
        <w:t>夏滄琪教授　簡歷</w:t>
      </w:r>
    </w:p>
    <w:p w:rsidR="007E5329" w:rsidRPr="0067032B" w:rsidRDefault="007E5329" w:rsidP="007E5329">
      <w:pPr>
        <w:rPr>
          <w:rFonts w:ascii="標楷體" w:eastAsia="標楷體" w:hAnsi="標楷體" w:cs="新細明體"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hint="eastAsia"/>
          <w:b/>
          <w:sz w:val="32"/>
          <w:szCs w:val="32"/>
        </w:rPr>
        <w:t>學歷：</w:t>
      </w: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國立中興大學 農學院森林學研究所 農學博士</w:t>
      </w:r>
    </w:p>
    <w:p w:rsidR="007E5329" w:rsidRPr="0067032B" w:rsidRDefault="007E5329" w:rsidP="007E5329">
      <w:pPr>
        <w:rPr>
          <w:rFonts w:ascii="標楷體" w:eastAsia="標楷體" w:hAnsi="標楷體" w:cs="新細明體"/>
          <w:b/>
          <w:color w:val="3E1A00"/>
          <w:spacing w:val="12"/>
          <w:kern w:val="0"/>
          <w:sz w:val="32"/>
          <w:szCs w:val="32"/>
        </w:rPr>
      </w:pPr>
      <w:r w:rsidRPr="0067032B">
        <w:rPr>
          <w:rFonts w:ascii="標楷體" w:eastAsia="標楷體" w:hAnsi="標楷體" w:cs="新細明體" w:hint="eastAsia"/>
          <w:b/>
          <w:color w:val="3E1A00"/>
          <w:spacing w:val="12"/>
          <w:kern w:val="0"/>
          <w:sz w:val="32"/>
          <w:szCs w:val="32"/>
        </w:rPr>
        <w:t>經歷：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E1A00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現任：國立嘉義大學木質材料與設計學系副教授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2006/03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2009/02 國家檔案局 檔案保存維護諮詢委員會委員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2006/01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 迄今 教育部所屬單位檔案業務成效訪視委員</w:t>
      </w:r>
    </w:p>
    <w:p w:rsidR="007E5329" w:rsidRPr="0067032B" w:rsidRDefault="007E5329" w:rsidP="007E5329">
      <w:pPr>
        <w:widowControl/>
        <w:spacing w:line="0" w:lineRule="atLeast"/>
        <w:ind w:left="2408" w:hangingChars="792" w:hanging="2408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2005/01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 迄今 國立文化資產保存研究中心、國美館、科工館、台博館、高美館、央圖台灣分館、高雄歷史博物館研究案審查委員 </w:t>
      </w:r>
    </w:p>
    <w:p w:rsidR="007E5329" w:rsidRPr="0067032B" w:rsidRDefault="007E5329" w:rsidP="007E5329">
      <w:pPr>
        <w:widowControl/>
        <w:spacing w:line="0" w:lineRule="atLeast"/>
        <w:ind w:left="2879" w:hangingChars="947" w:hanging="2879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2004/04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2009/12 國家檔案局 檔案管理金檔獎評獎委員會委員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2004/01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2009/12 中華林產事業協會第10、11屆監事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2001/08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2006/01 農委會林業試驗所森林化學組助理研究員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1993/01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2001/08 台灣省林業試驗所 森林化學系助理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1992/09 </w:t>
      </w:r>
      <w:proofErr w:type="gramStart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–</w:t>
      </w:r>
      <w:proofErr w:type="gramEnd"/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 xml:space="preserve"> 1993/01 台灣省林業試驗所蓮華池分所助理 </w:t>
      </w:r>
    </w:p>
    <w:p w:rsidR="007E5329" w:rsidRPr="0067032B" w:rsidRDefault="007E5329" w:rsidP="007E5329">
      <w:pPr>
        <w:rPr>
          <w:rFonts w:ascii="標楷體" w:eastAsia="標楷體" w:hAnsi="標楷體" w:cs="新細明體"/>
          <w:b/>
          <w:bCs/>
          <w:color w:val="3E1A00"/>
          <w:spacing w:val="12"/>
          <w:kern w:val="0"/>
          <w:sz w:val="32"/>
          <w:szCs w:val="32"/>
        </w:rPr>
      </w:pPr>
      <w:proofErr w:type="gramStart"/>
      <w:r w:rsidRPr="0067032B">
        <w:rPr>
          <w:rFonts w:ascii="標楷體" w:eastAsia="標楷體" w:hAnsi="標楷體" w:cs="新細明體" w:hint="eastAsia"/>
          <w:b/>
          <w:bCs/>
          <w:color w:val="3E1A00"/>
          <w:spacing w:val="12"/>
          <w:kern w:val="0"/>
          <w:sz w:val="32"/>
          <w:szCs w:val="32"/>
        </w:rPr>
        <w:t>研</w:t>
      </w:r>
      <w:proofErr w:type="gramEnd"/>
      <w:r w:rsidRPr="0067032B">
        <w:rPr>
          <w:rFonts w:ascii="標楷體" w:eastAsia="標楷體" w:hAnsi="標楷體" w:cs="新細明體" w:hint="eastAsia"/>
          <w:b/>
          <w:bCs/>
          <w:color w:val="3E1A00"/>
          <w:spacing w:val="12"/>
          <w:kern w:val="0"/>
          <w:sz w:val="32"/>
          <w:szCs w:val="32"/>
        </w:rPr>
        <w:t xml:space="preserve"> 究 與 專 長 領 域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紙質文物保存與維護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文物藝術品之微生物劣化與防除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預防性文物保存科學</w:t>
      </w:r>
    </w:p>
    <w:p w:rsidR="007E5329" w:rsidRPr="0067032B" w:rsidRDefault="007E5329" w:rsidP="007E5329">
      <w:pPr>
        <w:widowControl/>
        <w:spacing w:line="0" w:lineRule="atLeast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bCs/>
          <w:color w:val="3E1A00"/>
          <w:spacing w:val="12"/>
          <w:kern w:val="0"/>
          <w:sz w:val="28"/>
          <w:szCs w:val="28"/>
        </w:rPr>
        <w:t>造紙學</w:t>
      </w:r>
    </w:p>
    <w:p w:rsidR="007E5329" w:rsidRPr="0067032B" w:rsidRDefault="007E5329" w:rsidP="007E5329">
      <w:pPr>
        <w:widowControl/>
        <w:spacing w:line="0" w:lineRule="atLeast"/>
        <w:ind w:leftChars="1" w:left="2835" w:hangingChars="932" w:hanging="2833"/>
        <w:rPr>
          <w:rFonts w:ascii="標楷體" w:eastAsia="標楷體" w:hAnsi="標楷體" w:cs="新細明體"/>
          <w:color w:val="333333"/>
          <w:spacing w:val="12"/>
          <w:kern w:val="0"/>
          <w:sz w:val="28"/>
          <w:szCs w:val="28"/>
        </w:rPr>
      </w:pPr>
      <w:r w:rsidRPr="0067032B">
        <w:rPr>
          <w:rFonts w:ascii="標楷體" w:eastAsia="標楷體" w:hAnsi="標楷體" w:cs="新細明體" w:hint="eastAsia"/>
          <w:color w:val="3E1A00"/>
          <w:spacing w:val="12"/>
          <w:kern w:val="0"/>
          <w:sz w:val="28"/>
          <w:szCs w:val="28"/>
        </w:rPr>
        <w:t> </w:t>
      </w:r>
    </w:p>
    <w:p w:rsidR="007E5329" w:rsidRDefault="007E5329" w:rsidP="007E532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演講題目：紙質檔案之保存與維護</w:t>
      </w:r>
    </w:p>
    <w:p w:rsidR="007E5329" w:rsidRDefault="007E5329" w:rsidP="007E5329">
      <w:pPr>
        <w:widowControl/>
        <w:rPr>
          <w:rFonts w:ascii="標楷體" w:eastAsia="標楷體" w:hAnsi="標楷體"/>
          <w:b/>
          <w:sz w:val="36"/>
          <w:szCs w:val="36"/>
        </w:rPr>
      </w:pPr>
      <w:r w:rsidRPr="00341C76">
        <w:rPr>
          <w:rFonts w:ascii="標楷體" w:eastAsia="標楷體" w:hAnsi="標楷體" w:hint="eastAsia"/>
          <w:b/>
          <w:sz w:val="36"/>
          <w:szCs w:val="36"/>
        </w:rPr>
        <w:t>大綱</w:t>
      </w:r>
    </w:p>
    <w:p w:rsidR="007E5329" w:rsidRPr="00341C76" w:rsidRDefault="007E5329" w:rsidP="007E5329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sz w:val="36"/>
          <w:szCs w:val="36"/>
        </w:rPr>
        <w:t>一、紙質文物的特質</w:t>
      </w:r>
    </w:p>
    <w:p w:rsidR="007E5329" w:rsidRPr="00341C76" w:rsidRDefault="007E5329" w:rsidP="007E5329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sz w:val="36"/>
          <w:szCs w:val="36"/>
        </w:rPr>
        <w:t>二、劣化現象與形成因素</w:t>
      </w:r>
    </w:p>
    <w:p w:rsidR="007E5329" w:rsidRPr="00341C76" w:rsidRDefault="007E5329" w:rsidP="007E5329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sz w:val="36"/>
          <w:szCs w:val="36"/>
        </w:rPr>
        <w:t>三、紙質檔案蟲害類型</w:t>
      </w:r>
    </w:p>
    <w:p w:rsidR="007E5329" w:rsidRPr="00341C76" w:rsidRDefault="007E5329" w:rsidP="007E5329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sz w:val="36"/>
          <w:szCs w:val="36"/>
        </w:rPr>
        <w:t>四、庫房環境建議</w:t>
      </w:r>
    </w:p>
    <w:p w:rsidR="007E5329" w:rsidRPr="00341C76" w:rsidRDefault="007E5329" w:rsidP="007E5329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341C76">
        <w:rPr>
          <w:rFonts w:ascii="標楷體" w:eastAsia="標楷體" w:hAnsi="標楷體" w:hint="eastAsia"/>
          <w:sz w:val="36"/>
          <w:szCs w:val="36"/>
        </w:rPr>
        <w:t>五、檔案館典藏設備建議</w:t>
      </w:r>
    </w:p>
    <w:p w:rsidR="007E5329" w:rsidRDefault="007E5329" w:rsidP="007E5329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341C76">
        <w:rPr>
          <w:rFonts w:ascii="標楷體" w:eastAsia="標楷體" w:hAnsi="標楷體" w:hint="eastAsia"/>
          <w:sz w:val="36"/>
          <w:szCs w:val="36"/>
        </w:rPr>
        <w:t>六、結論</w:t>
      </w:r>
    </w:p>
    <w:p w:rsidR="00F070F5" w:rsidRPr="00341C76" w:rsidRDefault="00F070F5" w:rsidP="008263B7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F070F5" w:rsidRPr="00341C76" w:rsidSect="00B7531D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9B" w:rsidRDefault="0046079B" w:rsidP="00DF2B55">
      <w:r>
        <w:separator/>
      </w:r>
    </w:p>
  </w:endnote>
  <w:endnote w:type="continuationSeparator" w:id="0">
    <w:p w:rsidR="0046079B" w:rsidRDefault="0046079B" w:rsidP="00DF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9B" w:rsidRDefault="0046079B" w:rsidP="00DF2B55">
      <w:r>
        <w:separator/>
      </w:r>
    </w:p>
  </w:footnote>
  <w:footnote w:type="continuationSeparator" w:id="0">
    <w:p w:rsidR="0046079B" w:rsidRDefault="0046079B" w:rsidP="00DF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837"/>
    <w:multiLevelType w:val="hybridMultilevel"/>
    <w:tmpl w:val="A99E9574"/>
    <w:lvl w:ilvl="0" w:tplc="F65E2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CB4EAF"/>
    <w:multiLevelType w:val="multilevel"/>
    <w:tmpl w:val="103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0F5"/>
    <w:rsid w:val="000264E6"/>
    <w:rsid w:val="000A3066"/>
    <w:rsid w:val="000A4506"/>
    <w:rsid w:val="001E6404"/>
    <w:rsid w:val="00243FEC"/>
    <w:rsid w:val="00266EDE"/>
    <w:rsid w:val="00341C76"/>
    <w:rsid w:val="0036459C"/>
    <w:rsid w:val="00417DA4"/>
    <w:rsid w:val="0046079B"/>
    <w:rsid w:val="00461023"/>
    <w:rsid w:val="00581C38"/>
    <w:rsid w:val="0067032B"/>
    <w:rsid w:val="007E5329"/>
    <w:rsid w:val="008138DB"/>
    <w:rsid w:val="008263B7"/>
    <w:rsid w:val="008E3C9F"/>
    <w:rsid w:val="008F40F1"/>
    <w:rsid w:val="008F5C56"/>
    <w:rsid w:val="00B7531D"/>
    <w:rsid w:val="00B91603"/>
    <w:rsid w:val="00B963FC"/>
    <w:rsid w:val="00BB5733"/>
    <w:rsid w:val="00D05607"/>
    <w:rsid w:val="00DF2B55"/>
    <w:rsid w:val="00F070F5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2B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2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2B55"/>
    <w:rPr>
      <w:sz w:val="20"/>
      <w:szCs w:val="20"/>
    </w:rPr>
  </w:style>
  <w:style w:type="paragraph" w:styleId="a7">
    <w:name w:val="List Paragraph"/>
    <w:basedOn w:val="a"/>
    <w:uiPriority w:val="34"/>
    <w:qFormat/>
    <w:rsid w:val="006703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606">
                          <w:marLeft w:val="36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69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2016-11-09T08:05:00Z</cp:lastPrinted>
  <dcterms:created xsi:type="dcterms:W3CDTF">2016-11-10T00:44:00Z</dcterms:created>
  <dcterms:modified xsi:type="dcterms:W3CDTF">2016-11-10T00:44:00Z</dcterms:modified>
</cp:coreProperties>
</file>